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7" w:rsidRPr="007F0D73" w:rsidRDefault="008612A0" w:rsidP="007F0D7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73">
        <w:rPr>
          <w:rFonts w:ascii="Times New Roman" w:hAnsi="Times New Roman" w:cs="Times New Roman"/>
          <w:b/>
          <w:sz w:val="24"/>
          <w:szCs w:val="24"/>
        </w:rPr>
        <w:t>NACIONAL</w:t>
      </w:r>
      <w:r w:rsidR="00E06FA4" w:rsidRPr="007F0D73">
        <w:rPr>
          <w:rFonts w:ascii="Times New Roman" w:hAnsi="Times New Roman" w:cs="Times New Roman"/>
          <w:b/>
          <w:sz w:val="24"/>
          <w:szCs w:val="24"/>
        </w:rPr>
        <w:t>I</w:t>
      </w:r>
      <w:r w:rsidRPr="007F0D73">
        <w:rPr>
          <w:rFonts w:ascii="Times New Roman" w:hAnsi="Times New Roman" w:cs="Times New Roman"/>
          <w:b/>
          <w:sz w:val="24"/>
          <w:szCs w:val="24"/>
        </w:rPr>
        <w:t xml:space="preserve">NĖS NEĮGALIŲJŲ SOCIALINĖS INTEGRACIJOS </w:t>
      </w:r>
      <w:r w:rsidR="007F0D73" w:rsidRPr="007F0D73"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="007F0D73" w:rsidRPr="007F0D73">
        <w:rPr>
          <w:rFonts w:ascii="Times New Roman" w:hAnsi="Times New Roman" w:cs="Times New Roman"/>
          <w:sz w:val="24"/>
          <w:szCs w:val="24"/>
        </w:rPr>
        <w:t xml:space="preserve">– </w:t>
      </w:r>
      <w:r w:rsidR="007F0D73" w:rsidRPr="007F0D73">
        <w:rPr>
          <w:rFonts w:ascii="Times New Roman" w:hAnsi="Times New Roman" w:cs="Times New Roman"/>
          <w:b/>
          <w:sz w:val="24"/>
          <w:szCs w:val="24"/>
        </w:rPr>
        <w:t xml:space="preserve">2019 METŲ </w:t>
      </w:r>
      <w:r w:rsidRPr="007F0D73">
        <w:rPr>
          <w:rFonts w:ascii="Times New Roman" w:hAnsi="Times New Roman" w:cs="Times New Roman"/>
          <w:b/>
          <w:sz w:val="24"/>
          <w:szCs w:val="24"/>
        </w:rPr>
        <w:t>PROGRAMOS</w:t>
      </w:r>
      <w:r w:rsidR="007F0D73" w:rsidRPr="007F0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73">
        <w:rPr>
          <w:rFonts w:ascii="Times New Roman" w:hAnsi="Times New Roman" w:cs="Times New Roman"/>
          <w:b/>
          <w:sz w:val="24"/>
          <w:szCs w:val="24"/>
        </w:rPr>
        <w:t>ĮGYVENDINIMO</w:t>
      </w:r>
      <w:r w:rsidR="00AE57F0">
        <w:rPr>
          <w:rFonts w:ascii="Times New Roman" w:hAnsi="Times New Roman" w:cs="Times New Roman"/>
          <w:b/>
          <w:sz w:val="24"/>
          <w:szCs w:val="24"/>
        </w:rPr>
        <w:t xml:space="preserve"> KOORDINAVIMO IR</w:t>
      </w:r>
      <w:r w:rsidRPr="007F0D73">
        <w:rPr>
          <w:rFonts w:ascii="Times New Roman" w:hAnsi="Times New Roman" w:cs="Times New Roman"/>
          <w:b/>
          <w:sz w:val="24"/>
          <w:szCs w:val="24"/>
        </w:rPr>
        <w:t xml:space="preserve"> STEBĖSENOS </w:t>
      </w:r>
      <w:r w:rsidR="00E6287C">
        <w:rPr>
          <w:rFonts w:ascii="Times New Roman" w:hAnsi="Times New Roman" w:cs="Times New Roman"/>
          <w:b/>
          <w:sz w:val="24"/>
          <w:szCs w:val="24"/>
        </w:rPr>
        <w:t>201</w:t>
      </w:r>
      <w:r w:rsidR="00344E52">
        <w:rPr>
          <w:rFonts w:ascii="Times New Roman" w:hAnsi="Times New Roman" w:cs="Times New Roman"/>
          <w:b/>
          <w:sz w:val="24"/>
          <w:szCs w:val="24"/>
        </w:rPr>
        <w:t>5</w:t>
      </w:r>
      <w:r w:rsidR="00E6287C">
        <w:rPr>
          <w:rFonts w:ascii="Times New Roman" w:hAnsi="Times New Roman" w:cs="Times New Roman"/>
          <w:b/>
          <w:sz w:val="24"/>
          <w:szCs w:val="24"/>
        </w:rPr>
        <w:t xml:space="preserve"> METAIS ATASKAIT</w:t>
      </w:r>
      <w:r w:rsidR="006F289D">
        <w:rPr>
          <w:rFonts w:ascii="Times New Roman" w:hAnsi="Times New Roman" w:cs="Times New Roman"/>
          <w:b/>
          <w:sz w:val="24"/>
          <w:szCs w:val="24"/>
        </w:rPr>
        <w:t>A</w:t>
      </w:r>
      <w:r w:rsidR="00E62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F4F" w:rsidRPr="000952FC" w:rsidRDefault="00C40F4F" w:rsidP="00AE57F0">
      <w:pPr>
        <w:pStyle w:val="centrbold"/>
        <w:spacing w:before="0" w:beforeAutospacing="0" w:after="0" w:afterAutospacing="0"/>
        <w:ind w:left="720"/>
        <w:jc w:val="center"/>
        <w:rPr>
          <w:b/>
        </w:rPr>
      </w:pPr>
    </w:p>
    <w:p w:rsidR="00E6287C" w:rsidRPr="00AB49A4" w:rsidRDefault="00E6287C" w:rsidP="00E6287C">
      <w:pPr>
        <w:pStyle w:val="bodytext"/>
        <w:tabs>
          <w:tab w:val="left" w:pos="851"/>
        </w:tabs>
        <w:spacing w:before="0" w:beforeAutospacing="0" w:after="0" w:afterAutospacing="0"/>
        <w:jc w:val="both"/>
      </w:pPr>
      <w:r>
        <w:tab/>
      </w:r>
      <w:r w:rsidRPr="00AB49A4">
        <w:t>Vadovaujantis Nacionalinės neįgaliųjų socialinės integracijos 2</w:t>
      </w:r>
      <w:r w:rsidR="00D67913" w:rsidRPr="00AB49A4">
        <w:t>013</w:t>
      </w:r>
      <w:r w:rsidRPr="00AB49A4">
        <w:t xml:space="preserve"> – 2019 metų programos, patvirtintos Lietuvos Respublikos Vyriausybės 2012 m. lapkričio 21 d. nutarimu Nr. 1408 (</w:t>
      </w:r>
      <w:proofErr w:type="spellStart"/>
      <w:r w:rsidRPr="00AB49A4">
        <w:t>Žin</w:t>
      </w:r>
      <w:proofErr w:type="spellEnd"/>
      <w:r w:rsidRPr="00AB49A4">
        <w:t>., 2012, Nr. 137</w:t>
      </w:r>
      <w:proofErr w:type="gramStart"/>
      <w:r w:rsidRPr="00AB49A4">
        <w:t>-</w:t>
      </w:r>
      <w:proofErr w:type="gramEnd"/>
      <w:r w:rsidRPr="00AB49A4">
        <w:t>7021) (toliau – Nacionalinė programa) 19 punkto nuostatomis, šios programos įgyvendinimo koordinavimą ir stebėseną vykdo Neįgaliųjų reikalų departamentas prie Socialinės apsaugos ir darbo ministerijos (</w:t>
      </w:r>
      <w:r w:rsidR="003B61CB" w:rsidRPr="00AB49A4">
        <w:t>toliau - Departamentas</w:t>
      </w:r>
      <w:r w:rsidRPr="00AB49A4">
        <w:t xml:space="preserve">). </w:t>
      </w:r>
    </w:p>
    <w:p w:rsidR="00E6287C" w:rsidRDefault="00875F29" w:rsidP="00E6287C">
      <w:pPr>
        <w:pStyle w:val="bodytext"/>
        <w:tabs>
          <w:tab w:val="left" w:pos="851"/>
        </w:tabs>
        <w:spacing w:before="0" w:beforeAutospacing="0" w:after="0" w:afterAutospacing="0"/>
        <w:jc w:val="both"/>
      </w:pPr>
      <w:r w:rsidRPr="00AB49A4">
        <w:tab/>
        <w:t>2015</w:t>
      </w:r>
      <w:r w:rsidR="00E15076" w:rsidRPr="00AB49A4">
        <w:t xml:space="preserve"> metais vykdyti šie </w:t>
      </w:r>
      <w:r w:rsidR="00792F78" w:rsidRPr="00AB49A4">
        <w:t xml:space="preserve">koordinavimo ir stebėsenos </w:t>
      </w:r>
      <w:r w:rsidR="00E15076" w:rsidRPr="00AB49A4">
        <w:t>darbai:</w:t>
      </w:r>
    </w:p>
    <w:p w:rsidR="003B61CB" w:rsidRDefault="00E15076" w:rsidP="006F289D">
      <w:pPr>
        <w:pStyle w:val="bodytext"/>
        <w:tabs>
          <w:tab w:val="left" w:pos="851"/>
        </w:tabs>
        <w:spacing w:before="0" w:beforeAutospacing="0" w:after="0" w:afterAutospacing="0"/>
        <w:jc w:val="both"/>
      </w:pPr>
      <w:r>
        <w:tab/>
      </w:r>
      <w:r w:rsidR="003B61CB">
        <w:t>1</w:t>
      </w:r>
      <w:r>
        <w:t>.</w:t>
      </w:r>
      <w:r w:rsidR="003B61CB">
        <w:t xml:space="preserve"> Departamentas, koordinuodamas</w:t>
      </w:r>
      <w:r w:rsidR="003B61CB">
        <w:rPr>
          <w:color w:val="000000" w:themeColor="text1"/>
        </w:rPr>
        <w:t xml:space="preserve"> Nacionalinės programos įgyvendinimui skirtų priemonių planų rengimą, 2015 metais organizavo darbo grupės, rengiančios </w:t>
      </w:r>
      <w:r w:rsidR="003B61CB" w:rsidRPr="00912788">
        <w:t>Nacionalinės neįgaliųjų socialinės integracijos 2013 – 2019 metų programos 201</w:t>
      </w:r>
      <w:r w:rsidR="003B61CB">
        <w:t>6</w:t>
      </w:r>
      <w:proofErr w:type="gramStart"/>
      <w:r w:rsidR="003B61CB">
        <w:t>-</w:t>
      </w:r>
      <w:proofErr w:type="gramEnd"/>
      <w:r w:rsidR="003B61CB">
        <w:t>2018</w:t>
      </w:r>
      <w:r w:rsidR="003B61CB" w:rsidRPr="00912788">
        <w:t xml:space="preserve"> metų </w:t>
      </w:r>
      <w:r w:rsidR="003B61CB">
        <w:t>veiksmų planą, veiklą. Šis veiksmų planas parengtas ir patvirtintas 2015-06-25 Socialinės apsaugos ir darbo ministro įsakymu Nr. A1-381.</w:t>
      </w:r>
    </w:p>
    <w:p w:rsidR="00E15076" w:rsidRDefault="003B61CB" w:rsidP="005B6CCB">
      <w:pPr>
        <w:pStyle w:val="bodytext"/>
        <w:shd w:val="clear" w:color="auto" w:fill="FFFFFF" w:themeFill="background1"/>
        <w:tabs>
          <w:tab w:val="left" w:pos="851"/>
        </w:tabs>
        <w:spacing w:before="0" w:beforeAutospacing="0" w:after="0" w:afterAutospacing="0"/>
        <w:jc w:val="both"/>
      </w:pPr>
      <w:r>
        <w:tab/>
      </w:r>
      <w:r w:rsidRPr="00D27016">
        <w:t xml:space="preserve">2. </w:t>
      </w:r>
      <w:r w:rsidR="005A73F3" w:rsidRPr="00D27016">
        <w:t>Stebėtas</w:t>
      </w:r>
      <w:r w:rsidR="00875F29" w:rsidRPr="00D27016">
        <w:t xml:space="preserve"> 25 Nacionalinės neįgaliųjų socialinės integracijos 2013 – 2019 metų programos 2015 metų įgyvendinimo priemonių plano įgyvendinimas</w:t>
      </w:r>
      <w:r w:rsidR="005A73F3">
        <w:t xml:space="preserve">, iš jų Departamentas įgyvendino ar finansavo, koordinavo ir kontroliavo 10 priemonių. </w:t>
      </w:r>
      <w:r w:rsidR="005A73F3" w:rsidRPr="002D017A">
        <w:rPr>
          <w:b/>
        </w:rPr>
        <w:t>V</w:t>
      </w:r>
      <w:r w:rsidR="00792F78" w:rsidRPr="002D017A">
        <w:rPr>
          <w:b/>
        </w:rPr>
        <w:t xml:space="preserve">iso </w:t>
      </w:r>
      <w:r w:rsidR="005A73F3" w:rsidRPr="002D017A">
        <w:rPr>
          <w:b/>
        </w:rPr>
        <w:t>25 Nacionalinės neįgaliųjų socialinės integracijos 2013 – 2019 metų programos 2015 metų įgyvendinimo priemonių plano</w:t>
      </w:r>
      <w:r w:rsidR="00792F78" w:rsidRPr="002D017A">
        <w:rPr>
          <w:b/>
        </w:rPr>
        <w:t xml:space="preserve">. priemonių įgyvendinimui </w:t>
      </w:r>
      <w:r w:rsidR="006F289D" w:rsidRPr="002D017A">
        <w:rPr>
          <w:b/>
        </w:rPr>
        <w:t>panaudota</w:t>
      </w:r>
      <w:r w:rsidR="00792F78" w:rsidRPr="002D017A">
        <w:rPr>
          <w:b/>
        </w:rPr>
        <w:t xml:space="preserve"> </w:t>
      </w:r>
      <w:r w:rsidR="00941E48" w:rsidRPr="002D017A">
        <w:rPr>
          <w:b/>
          <w:color w:val="000000"/>
        </w:rPr>
        <w:t>15975933</w:t>
      </w:r>
      <w:r w:rsidR="00941E48" w:rsidRPr="002D017A">
        <w:rPr>
          <w:b/>
          <w:color w:val="000000"/>
        </w:rPr>
        <w:t xml:space="preserve"> </w:t>
      </w:r>
      <w:proofErr w:type="spellStart"/>
      <w:r w:rsidR="00845B89" w:rsidRPr="002D017A">
        <w:rPr>
          <w:b/>
          <w:color w:val="000000"/>
        </w:rPr>
        <w:t>Eur</w:t>
      </w:r>
      <w:proofErr w:type="spellEnd"/>
      <w:r w:rsidR="006F289D" w:rsidRPr="002D017A">
        <w:rPr>
          <w:b/>
          <w:shd w:val="clear" w:color="auto" w:fill="FFFFFF" w:themeFill="background1"/>
        </w:rPr>
        <w:t>, iš jų valstybės biudžeto lėšų –</w:t>
      </w:r>
      <w:r w:rsidR="00941E48" w:rsidRPr="002D017A">
        <w:rPr>
          <w:b/>
          <w:shd w:val="clear" w:color="auto" w:fill="FFFFFF" w:themeFill="background1"/>
        </w:rPr>
        <w:t xml:space="preserve">15063091 </w:t>
      </w:r>
      <w:proofErr w:type="spellStart"/>
      <w:r w:rsidR="005B6CCB" w:rsidRPr="002D017A">
        <w:rPr>
          <w:b/>
        </w:rPr>
        <w:t>Eur</w:t>
      </w:r>
      <w:proofErr w:type="spellEnd"/>
      <w:r w:rsidR="005B6CCB" w:rsidRPr="002D017A">
        <w:rPr>
          <w:b/>
        </w:rPr>
        <w:t>,</w:t>
      </w:r>
      <w:r w:rsidR="006F289D" w:rsidRPr="002D017A">
        <w:rPr>
          <w:b/>
        </w:rPr>
        <w:t xml:space="preserve"> </w:t>
      </w:r>
      <w:proofErr w:type="gramStart"/>
      <w:r w:rsidR="006F289D" w:rsidRPr="002D017A">
        <w:rPr>
          <w:b/>
        </w:rPr>
        <w:t>Europos sąjungos</w:t>
      </w:r>
      <w:proofErr w:type="gramEnd"/>
      <w:r w:rsidR="006F289D" w:rsidRPr="002D017A">
        <w:rPr>
          <w:b/>
        </w:rPr>
        <w:t xml:space="preserve"> finansinės paramos lėšų - </w:t>
      </w:r>
      <w:r w:rsidR="005B6CCB" w:rsidRPr="002D017A">
        <w:rPr>
          <w:b/>
        </w:rPr>
        <w:t xml:space="preserve">912 842 </w:t>
      </w:r>
      <w:proofErr w:type="spellStart"/>
      <w:r w:rsidR="005B6CCB" w:rsidRPr="002D017A">
        <w:rPr>
          <w:b/>
        </w:rPr>
        <w:t>Eur</w:t>
      </w:r>
      <w:proofErr w:type="spellEnd"/>
      <w:r w:rsidR="006F289D" w:rsidRPr="002D017A">
        <w:rPr>
          <w:b/>
        </w:rPr>
        <w:t>.</w:t>
      </w:r>
      <w:r w:rsidR="003C2176" w:rsidRPr="005B6CCB">
        <w:t xml:space="preserve"> </w:t>
      </w:r>
      <w:bookmarkStart w:id="0" w:name="_GoBack"/>
      <w:bookmarkEnd w:id="0"/>
      <w:r w:rsidR="003C2176" w:rsidRPr="005B6CCB">
        <w:t>Informacija apie pasiektus rezultatus ir panaudotas lėšas pridedama.</w:t>
      </w:r>
    </w:p>
    <w:p w:rsidR="005A73F3" w:rsidRDefault="00792F78" w:rsidP="00D27016">
      <w:pPr>
        <w:pStyle w:val="bodytext"/>
        <w:tabs>
          <w:tab w:val="left" w:pos="851"/>
        </w:tabs>
        <w:spacing w:before="0" w:beforeAutospacing="0" w:after="0" w:afterAutospacing="0"/>
        <w:jc w:val="both"/>
      </w:pPr>
      <w:r>
        <w:tab/>
      </w:r>
      <w:r w:rsidR="00D27016">
        <w:t>3</w:t>
      </w:r>
      <w:r w:rsidR="005A73F3">
        <w:t xml:space="preserve">. </w:t>
      </w:r>
      <w:r w:rsidR="000154F5">
        <w:t xml:space="preserve">2015 m. pasibaigus trumpos trukmės planavimo dokumentui </w:t>
      </w:r>
      <w:proofErr w:type="gramStart"/>
      <w:r w:rsidR="000154F5">
        <w:t>-</w:t>
      </w:r>
      <w:proofErr w:type="gramEnd"/>
      <w:r w:rsidR="000154F5">
        <w:t xml:space="preserve"> </w:t>
      </w:r>
      <w:r w:rsidR="000154F5" w:rsidRPr="00912788">
        <w:t>Nacionalinės neįgaliųjų socialinės integracijos 2013 – 2019 metų programos 201</w:t>
      </w:r>
      <w:r w:rsidR="000154F5">
        <w:t>3-2015</w:t>
      </w:r>
      <w:r w:rsidR="000154F5" w:rsidRPr="00912788">
        <w:t xml:space="preserve"> metų </w:t>
      </w:r>
      <w:r w:rsidR="000154F5">
        <w:t xml:space="preserve">priemonių planui, pateikiame informaciją apie </w:t>
      </w:r>
      <w:r w:rsidR="000154F5" w:rsidRPr="000154F5">
        <w:t>Nacionalinės neįgaliųjų socialinės integracijos 2013 – 2019 metų programos</w:t>
      </w:r>
      <w:r w:rsidR="00FA2823">
        <w:t xml:space="preserve"> priede numatytų</w:t>
      </w:r>
      <w:r w:rsidR="000154F5">
        <w:t xml:space="preserve"> vertinimo kriterijų pasiektas reikšmes:</w:t>
      </w:r>
    </w:p>
    <w:p w:rsidR="000154F5" w:rsidRDefault="000154F5" w:rsidP="00D0375A">
      <w:pPr>
        <w:pStyle w:val="bodytext"/>
        <w:tabs>
          <w:tab w:val="left" w:pos="851"/>
        </w:tabs>
        <w:spacing w:before="0" w:beforeAutospacing="0" w:after="0" w:afterAutospacing="0"/>
        <w:ind w:firstLine="709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133"/>
        <w:gridCol w:w="1134"/>
        <w:gridCol w:w="1134"/>
        <w:gridCol w:w="1134"/>
        <w:gridCol w:w="2233"/>
      </w:tblGrid>
      <w:tr w:rsidR="00CB5FA9" w:rsidRPr="00CB5FA9" w:rsidTr="000154F5">
        <w:trPr>
          <w:trHeight w:val="288"/>
        </w:trPr>
        <w:tc>
          <w:tcPr>
            <w:tcW w:w="2086" w:type="dxa"/>
            <w:vMerge w:val="restart"/>
            <w:hideMark/>
          </w:tcPr>
          <w:p w:rsidR="00CB5FA9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B5FA9" w:rsidRPr="00D0375A">
              <w:rPr>
                <w:rFonts w:ascii="Times New Roman" w:hAnsi="Times New Roman" w:cs="Times New Roman"/>
              </w:rPr>
              <w:t>trateginis tikslas/Tikslas</w:t>
            </w:r>
          </w:p>
        </w:tc>
        <w:tc>
          <w:tcPr>
            <w:tcW w:w="2133" w:type="dxa"/>
            <w:vMerge w:val="restart"/>
            <w:hideMark/>
          </w:tcPr>
          <w:p w:rsidR="00CB5FA9" w:rsidRPr="00D0375A" w:rsidRDefault="00CB5FA9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Vertinimo kriterijus</w:t>
            </w:r>
          </w:p>
        </w:tc>
        <w:tc>
          <w:tcPr>
            <w:tcW w:w="5635" w:type="dxa"/>
            <w:gridSpan w:val="4"/>
            <w:hideMark/>
          </w:tcPr>
          <w:p w:rsidR="00CB5FA9" w:rsidRPr="00D0375A" w:rsidRDefault="000154F5" w:rsidP="00B02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Reikšmės</w:t>
            </w:r>
          </w:p>
        </w:tc>
      </w:tr>
      <w:tr w:rsidR="00FA2823" w:rsidRPr="00CB5FA9" w:rsidTr="000154F5">
        <w:trPr>
          <w:trHeight w:val="288"/>
        </w:trPr>
        <w:tc>
          <w:tcPr>
            <w:tcW w:w="2086" w:type="dxa"/>
            <w:vMerge/>
            <w:hideMark/>
          </w:tcPr>
          <w:p w:rsidR="00CB5FA9" w:rsidRPr="00D0375A" w:rsidRDefault="00CB5FA9" w:rsidP="00D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hideMark/>
          </w:tcPr>
          <w:p w:rsidR="00CB5FA9" w:rsidRPr="00D0375A" w:rsidRDefault="00CB5FA9" w:rsidP="00D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CB5FA9" w:rsidRPr="00D0375A" w:rsidRDefault="00CB5FA9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2012 metų</w:t>
            </w:r>
            <w:r w:rsidR="00FA2823">
              <w:rPr>
                <w:rFonts w:ascii="Times New Roman" w:hAnsi="Times New Roman" w:cs="Times New Roman"/>
              </w:rPr>
              <w:t xml:space="preserve"> pradinė reikšmė</w:t>
            </w:r>
          </w:p>
        </w:tc>
        <w:tc>
          <w:tcPr>
            <w:tcW w:w="1134" w:type="dxa"/>
            <w:noWrap/>
            <w:hideMark/>
          </w:tcPr>
          <w:p w:rsidR="00CB5FA9" w:rsidRPr="00D0375A" w:rsidRDefault="00CB5FA9" w:rsidP="00FA2823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2015 metų</w:t>
            </w:r>
            <w:r w:rsidR="00FA2823">
              <w:rPr>
                <w:rFonts w:ascii="Times New Roman" w:hAnsi="Times New Roman" w:cs="Times New Roman"/>
              </w:rPr>
              <w:t xml:space="preserve"> (pasiekta)</w:t>
            </w:r>
          </w:p>
        </w:tc>
        <w:tc>
          <w:tcPr>
            <w:tcW w:w="1134" w:type="dxa"/>
            <w:noWrap/>
            <w:hideMark/>
          </w:tcPr>
          <w:p w:rsidR="00CB5FA9" w:rsidRDefault="00CB5FA9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201</w:t>
            </w:r>
            <w:r w:rsidR="000154F5">
              <w:rPr>
                <w:rFonts w:ascii="Times New Roman" w:hAnsi="Times New Roman" w:cs="Times New Roman"/>
              </w:rPr>
              <w:t>9</w:t>
            </w:r>
            <w:r w:rsidRPr="00D0375A">
              <w:rPr>
                <w:rFonts w:ascii="Times New Roman" w:hAnsi="Times New Roman" w:cs="Times New Roman"/>
              </w:rPr>
              <w:t xml:space="preserve"> metų</w:t>
            </w:r>
          </w:p>
          <w:p w:rsidR="00FA2823" w:rsidRPr="00D0375A" w:rsidRDefault="00FA2823" w:rsidP="0001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(planas)</w:t>
            </w:r>
          </w:p>
        </w:tc>
        <w:tc>
          <w:tcPr>
            <w:tcW w:w="2233" w:type="dxa"/>
            <w:noWrap/>
            <w:hideMark/>
          </w:tcPr>
          <w:p w:rsidR="00CB5FA9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pastabos</w:t>
            </w:r>
          </w:p>
        </w:tc>
      </w:tr>
      <w:tr w:rsidR="00B02FCC" w:rsidRPr="00CB5FA9" w:rsidTr="000154F5">
        <w:trPr>
          <w:trHeight w:val="1440"/>
        </w:trPr>
        <w:tc>
          <w:tcPr>
            <w:tcW w:w="2086" w:type="dxa"/>
            <w:vMerge w:val="restart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375A">
              <w:rPr>
                <w:rFonts w:ascii="Times New Roman" w:hAnsi="Times New Roman" w:cs="Times New Roman"/>
                <w:b/>
                <w:bCs/>
              </w:rPr>
              <w:t xml:space="preserve">Strateginis tikslas: Sukurti neįgaliesiems palankią aplinką ir sąlygas oriam ir visaverčiam gyvenimui Lietuvoje, užtikrinti jiems lygias galimybes ir gyvenimo kokybę </w:t>
            </w: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neįgaliųjų gyvenimo kokybės indekso padidėjimas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B02FCC" w:rsidRPr="00B02FCC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</w:rPr>
              <w:t>**</w:t>
            </w:r>
            <w:r w:rsidR="00B02FCC" w:rsidRPr="00B02F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2FCC" w:rsidRPr="00B02FCC">
              <w:rPr>
                <w:rFonts w:ascii="Times New Roman" w:hAnsi="Times New Roman" w:cs="Times New Roman"/>
              </w:rPr>
              <w:t>(</w:t>
            </w:r>
            <w:proofErr w:type="gramEnd"/>
            <w:r w:rsidR="00B02FCC" w:rsidRPr="00B02FCC">
              <w:rPr>
                <w:rFonts w:ascii="Times New Roman" w:hAnsi="Times New Roman" w:cs="Times New Roman"/>
              </w:rPr>
              <w:t>indekso reikšmė -</w:t>
            </w:r>
          </w:p>
          <w:p w:rsidR="00B02FCC" w:rsidRPr="00B02FCC" w:rsidRDefault="00B02FCC" w:rsidP="00B02FC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02FCC">
              <w:rPr>
                <w:rFonts w:ascii="Times New Roman" w:hAnsi="Times New Roman" w:cs="Times New Roman"/>
                <w:bCs/>
                <w:color w:val="000000"/>
              </w:rPr>
              <w:t>34,7)</w:t>
            </w:r>
          </w:p>
          <w:p w:rsidR="000154F5" w:rsidRPr="00B02FCC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154F5" w:rsidRDefault="00687ED0" w:rsidP="000154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41</w:t>
            </w:r>
            <w:r w:rsidR="000154F5" w:rsidRPr="00B02FCC">
              <w:rPr>
                <w:rFonts w:ascii="Times New Roman" w:hAnsi="Times New Roman" w:cs="Times New Roman"/>
              </w:rPr>
              <w:t>%</w:t>
            </w:r>
            <w:proofErr w:type="gramEnd"/>
          </w:p>
          <w:p w:rsidR="00B02FCC" w:rsidRPr="00B02FCC" w:rsidRDefault="00B02FCC" w:rsidP="00B02FCC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</w:rPr>
              <w:t>(indekso reikšmė -</w:t>
            </w:r>
          </w:p>
          <w:p w:rsidR="00B02FCC" w:rsidRPr="00B02FCC" w:rsidRDefault="00925823" w:rsidP="00B02FC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48,</w:t>
            </w:r>
            <w:r w:rsidR="00687ED0">
              <w:rPr>
                <w:rFonts w:ascii="Times New Roman" w:hAnsi="Times New Roman" w:cs="Times New Roman"/>
                <w:bCs/>
                <w:color w:val="000000"/>
              </w:rPr>
              <w:t>92</w:t>
            </w:r>
            <w:r w:rsidR="00B02FCC" w:rsidRPr="00B02FC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B02FCC" w:rsidRPr="00B02FCC" w:rsidRDefault="00B02FCC" w:rsidP="00015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02FCC" w:rsidRPr="00B02FCC" w:rsidRDefault="000154F5" w:rsidP="00B02F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2FCC">
              <w:rPr>
                <w:rFonts w:ascii="Times New Roman" w:hAnsi="Times New Roman" w:cs="Times New Roman"/>
              </w:rPr>
              <w:t>10%</w:t>
            </w:r>
            <w:proofErr w:type="gramEnd"/>
            <w:r w:rsidR="00B02FCC" w:rsidRPr="00B02FCC">
              <w:rPr>
                <w:rFonts w:ascii="Times New Roman" w:hAnsi="Times New Roman" w:cs="Times New Roman"/>
              </w:rPr>
              <w:t xml:space="preserve"> indekso reikšmė -</w:t>
            </w:r>
          </w:p>
          <w:p w:rsidR="000154F5" w:rsidRPr="00B02FCC" w:rsidRDefault="00B02FCC" w:rsidP="00B02FCC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  <w:bCs/>
                <w:color w:val="000000"/>
              </w:rPr>
              <w:t>38,17)</w:t>
            </w:r>
          </w:p>
          <w:p w:rsidR="00B02FCC" w:rsidRPr="00B02FCC" w:rsidRDefault="00B02FCC" w:rsidP="00015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noWrap/>
          </w:tcPr>
          <w:p w:rsidR="000154F5" w:rsidRPr="00D0375A" w:rsidRDefault="000154F5" w:rsidP="0079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Indeksas apskaičiuojamas pagal Departamento sukurtą skaičiavimo metodą, vertina</w:t>
            </w:r>
            <w:r w:rsidR="00B02FC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t svarbių neįgaliųjų gyvenimo kokybei sričių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9374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eįgaliųjų poreikių tenkinimo, </w:t>
            </w:r>
            <w:r w:rsidR="00793748">
              <w:rPr>
                <w:rFonts w:ascii="Times New Roman" w:hAnsi="Times New Roman" w:cs="Times New Roman"/>
              </w:rPr>
              <w:t>f</w:t>
            </w:r>
            <w:r w:rsidRPr="000154F5">
              <w:rPr>
                <w:rFonts w:ascii="Times New Roman" w:hAnsi="Times New Roman" w:cs="Times New Roman"/>
              </w:rPr>
              <w:t>izinės ir in</w:t>
            </w:r>
            <w:r>
              <w:rPr>
                <w:rFonts w:ascii="Times New Roman" w:hAnsi="Times New Roman" w:cs="Times New Roman"/>
              </w:rPr>
              <w:t xml:space="preserve">formacinės aplinkos prieinamumo, </w:t>
            </w:r>
            <w:r w:rsidR="00793748">
              <w:rPr>
                <w:rFonts w:ascii="Times New Roman" w:hAnsi="Times New Roman" w:cs="Times New Roman"/>
              </w:rPr>
              <w:t>n</w:t>
            </w:r>
            <w:r w:rsidRPr="000154F5">
              <w:rPr>
                <w:rFonts w:ascii="Times New Roman" w:hAnsi="Times New Roman" w:cs="Times New Roman"/>
              </w:rPr>
              <w:t>eįgaliųjų užimtum</w:t>
            </w:r>
            <w:r w:rsidR="00793748">
              <w:rPr>
                <w:rFonts w:ascii="Times New Roman" w:hAnsi="Times New Roman" w:cs="Times New Roman"/>
              </w:rPr>
              <w:t>o</w:t>
            </w:r>
            <w:r w:rsidRPr="000154F5">
              <w:rPr>
                <w:rFonts w:ascii="Times New Roman" w:hAnsi="Times New Roman" w:cs="Times New Roman"/>
              </w:rPr>
              <w:t xml:space="preserve"> ir dalyvavim</w:t>
            </w:r>
            <w:r w:rsidR="00793748">
              <w:rPr>
                <w:rFonts w:ascii="Times New Roman" w:hAnsi="Times New Roman" w:cs="Times New Roman"/>
              </w:rPr>
              <w:t>o</w:t>
            </w:r>
            <w:r w:rsidRPr="000154F5">
              <w:rPr>
                <w:rFonts w:ascii="Times New Roman" w:hAnsi="Times New Roman" w:cs="Times New Roman"/>
              </w:rPr>
              <w:t xml:space="preserve"> kultūros ir sporto veiklose</w:t>
            </w:r>
            <w:r w:rsidR="00793748">
              <w:rPr>
                <w:rFonts w:ascii="Times New Roman" w:hAnsi="Times New Roman" w:cs="Times New Roman"/>
              </w:rPr>
              <w:t xml:space="preserve"> bei n</w:t>
            </w:r>
            <w:r w:rsidR="00793748" w:rsidRPr="00793748">
              <w:rPr>
                <w:rFonts w:ascii="Times New Roman" w:hAnsi="Times New Roman" w:cs="Times New Roman"/>
              </w:rPr>
              <w:t>eįgaliųjų teisių gynim</w:t>
            </w:r>
            <w:r w:rsidR="00793748">
              <w:rPr>
                <w:rFonts w:ascii="Times New Roman" w:hAnsi="Times New Roman" w:cs="Times New Roman"/>
              </w:rPr>
              <w:t>o</w:t>
            </w:r>
            <w:r w:rsidR="00793748" w:rsidRPr="00793748">
              <w:rPr>
                <w:rFonts w:ascii="Times New Roman" w:hAnsi="Times New Roman" w:cs="Times New Roman"/>
              </w:rPr>
              <w:t xml:space="preserve"> ir socialini</w:t>
            </w:r>
            <w:r w:rsidR="00793748">
              <w:rPr>
                <w:rFonts w:ascii="Times New Roman" w:hAnsi="Times New Roman" w:cs="Times New Roman"/>
              </w:rPr>
              <w:t>o</w:t>
            </w:r>
            <w:r w:rsidR="00793748" w:rsidRPr="00793748">
              <w:rPr>
                <w:rFonts w:ascii="Times New Roman" w:hAnsi="Times New Roman" w:cs="Times New Roman"/>
              </w:rPr>
              <w:t xml:space="preserve"> aktyvum</w:t>
            </w:r>
            <w:r w:rsidR="00793748">
              <w:rPr>
                <w:rFonts w:ascii="Times New Roman" w:hAnsi="Times New Roman" w:cs="Times New Roman"/>
              </w:rPr>
              <w:t>o statistinių rodiklių visumą</w:t>
            </w:r>
          </w:p>
        </w:tc>
      </w:tr>
      <w:tr w:rsidR="00B02FCC" w:rsidRPr="00CB5FA9" w:rsidTr="000154F5">
        <w:trPr>
          <w:trHeight w:val="564"/>
        </w:trPr>
        <w:tc>
          <w:tcPr>
            <w:tcW w:w="2086" w:type="dxa"/>
            <w:vMerge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neįgaliųjų lygių galimybių užtikrinimo indeksas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B02FCC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</w:rPr>
              <w:t>**</w:t>
            </w:r>
          </w:p>
          <w:p w:rsidR="00B02FCC" w:rsidRPr="00B02FCC" w:rsidRDefault="00B02FCC" w:rsidP="00B02FCC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</w:rPr>
              <w:t>(indekso reikšmė -</w:t>
            </w:r>
          </w:p>
          <w:p w:rsidR="00B02FCC" w:rsidRPr="00B02FCC" w:rsidRDefault="00B02FCC" w:rsidP="00B02FCC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  <w:bCs/>
                <w:color w:val="000000"/>
              </w:rPr>
              <w:t>53,7)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B02FCC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</w:rPr>
              <w:t>0</w:t>
            </w:r>
          </w:p>
          <w:p w:rsidR="00B02FCC" w:rsidRPr="00B02FCC" w:rsidRDefault="00B02FCC" w:rsidP="00B02FCC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</w:rPr>
              <w:t>(indekso reikšmė -</w:t>
            </w:r>
          </w:p>
          <w:p w:rsidR="00B02FCC" w:rsidRPr="00B02FCC" w:rsidRDefault="00B02FCC" w:rsidP="00B02FCC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  <w:bCs/>
                <w:color w:val="000000"/>
              </w:rPr>
              <w:t>52,63)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B02FCC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2FCC">
              <w:rPr>
                <w:rFonts w:ascii="Times New Roman" w:hAnsi="Times New Roman" w:cs="Times New Roman"/>
              </w:rPr>
              <w:t>30%</w:t>
            </w:r>
            <w:proofErr w:type="gramEnd"/>
          </w:p>
          <w:p w:rsidR="00B02FCC" w:rsidRPr="00B02FCC" w:rsidRDefault="00B02FCC" w:rsidP="00B02FCC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</w:rPr>
              <w:t>(indekso reikšmė -</w:t>
            </w:r>
          </w:p>
          <w:p w:rsidR="00B02FCC" w:rsidRPr="00B02FCC" w:rsidRDefault="00B02FCC" w:rsidP="00B02FCC">
            <w:pPr>
              <w:jc w:val="center"/>
              <w:rPr>
                <w:rFonts w:ascii="Times New Roman" w:hAnsi="Times New Roman" w:cs="Times New Roman"/>
              </w:rPr>
            </w:pPr>
            <w:r w:rsidRPr="00B02FCC">
              <w:rPr>
                <w:rFonts w:ascii="Times New Roman" w:hAnsi="Times New Roman" w:cs="Times New Roman"/>
                <w:bCs/>
                <w:color w:val="000000"/>
              </w:rPr>
              <w:t>69,38)</w:t>
            </w:r>
          </w:p>
        </w:tc>
        <w:tc>
          <w:tcPr>
            <w:tcW w:w="2233" w:type="dxa"/>
            <w:noWrap/>
          </w:tcPr>
          <w:p w:rsidR="000154F5" w:rsidRPr="00D0375A" w:rsidRDefault="00793748" w:rsidP="00B02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Indeksas apskaičiuojamas pagal Departamento sukurtą skaičiavimo metodą, vertina</w:t>
            </w:r>
            <w:r w:rsidR="00B02FC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t svarbių neįgaliųjų lygių galimybių užtikrinimui sričių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t xml:space="preserve"> </w:t>
            </w:r>
            <w:r w:rsidR="00B02FCC">
              <w:rPr>
                <w:rFonts w:ascii="Times New Roman" w:hAnsi="Times New Roman" w:cs="Times New Roman"/>
              </w:rPr>
              <w:t>n</w:t>
            </w:r>
            <w:r w:rsidRPr="00793748">
              <w:rPr>
                <w:rFonts w:ascii="Times New Roman" w:hAnsi="Times New Roman" w:cs="Times New Roman"/>
              </w:rPr>
              <w:t>eįgaliųjų lygių galimybių užtikrinimas švietimo srityje</w:t>
            </w:r>
            <w:r>
              <w:rPr>
                <w:rFonts w:ascii="Times New Roman" w:hAnsi="Times New Roman" w:cs="Times New Roman"/>
              </w:rPr>
              <w:t>,</w:t>
            </w:r>
            <w:r w:rsidRPr="00793748">
              <w:rPr>
                <w:rFonts w:ascii="Times New Roman" w:hAnsi="Times New Roman" w:cs="Times New Roman"/>
              </w:rPr>
              <w:t xml:space="preserve"> užimtumo darbo rinkoje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793748">
              <w:rPr>
                <w:rFonts w:ascii="Times New Roman" w:hAnsi="Times New Roman" w:cs="Times New Roman"/>
              </w:rPr>
              <w:t>vartotojų teisių apsaugos srity</w:t>
            </w:r>
            <w:r w:rsidR="00B02FCC">
              <w:rPr>
                <w:rFonts w:ascii="Times New Roman" w:hAnsi="Times New Roman" w:cs="Times New Roman"/>
              </w:rPr>
              <w:t>s</w:t>
            </w:r>
            <w:r w:rsidRPr="00793748">
              <w:rPr>
                <w:rFonts w:ascii="Times New Roman" w:hAnsi="Times New Roman" w:cs="Times New Roman"/>
              </w:rPr>
              <w:t>e</w:t>
            </w:r>
            <w:r w:rsidR="00B02FCC">
              <w:rPr>
                <w:rFonts w:ascii="Times New Roman" w:hAnsi="Times New Roman" w:cs="Times New Roman"/>
              </w:rPr>
              <w:t xml:space="preserve"> bei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2FCC" w:rsidRPr="00793748">
              <w:rPr>
                <w:rFonts w:ascii="Times New Roman" w:hAnsi="Times New Roman" w:cs="Times New Roman"/>
              </w:rPr>
              <w:t>dalyv</w:t>
            </w:r>
            <w:r w:rsidR="00B02FCC">
              <w:rPr>
                <w:rFonts w:ascii="Times New Roman" w:hAnsi="Times New Roman" w:cs="Times New Roman"/>
              </w:rPr>
              <w:t xml:space="preserve">avimo </w:t>
            </w:r>
            <w:r w:rsidRPr="00793748">
              <w:rPr>
                <w:rFonts w:ascii="Times New Roman" w:hAnsi="Times New Roman" w:cs="Times New Roman"/>
              </w:rPr>
              <w:t>visuomeniniame gyvenime</w:t>
            </w:r>
            <w:r w:rsidR="00B02FCC">
              <w:rPr>
                <w:rFonts w:ascii="Times New Roman" w:hAnsi="Times New Roman" w:cs="Times New Roman"/>
              </w:rPr>
              <w:t xml:space="preserve"> statistinių rodiklių visumą</w:t>
            </w:r>
          </w:p>
        </w:tc>
      </w:tr>
      <w:tr w:rsidR="00B02FCC" w:rsidRPr="00CB5FA9" w:rsidTr="000154F5">
        <w:trPr>
          <w:trHeight w:val="1152"/>
        </w:trPr>
        <w:tc>
          <w:tcPr>
            <w:tcW w:w="2086" w:type="dxa"/>
            <w:vMerge w:val="restart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Tikslas: Užtikrinti skirtingas negalias turinčių neįgaliųjų specialiuosius poreikius socialinės apsaugos, sveikatos priežiūros, švietimo srityse</w:t>
            </w: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socialinės apsaugos paslaugų poreikio patenkinimo padidėjimas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  <w:noWrap/>
          </w:tcPr>
          <w:p w:rsidR="000154F5" w:rsidRPr="00D0375A" w:rsidRDefault="00B02FCC" w:rsidP="00B02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Vertinama, kiek procentų neįgaliųjų gavo įvairias nuolatines socialinės apsaugos paslaugas (socialines, socialinės reabilitacijos, dienos bei stacionarios globos)</w:t>
            </w:r>
          </w:p>
        </w:tc>
      </w:tr>
      <w:tr w:rsidR="00B02FCC" w:rsidRPr="00CB5FA9" w:rsidTr="000154F5">
        <w:trPr>
          <w:trHeight w:val="576"/>
        </w:trPr>
        <w:tc>
          <w:tcPr>
            <w:tcW w:w="2086" w:type="dxa"/>
            <w:vMerge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sveikatos priežiūros paslaugų poreikio patenkinimo padidėjimas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3" w:type="dxa"/>
            <w:noWrap/>
          </w:tcPr>
          <w:p w:rsidR="000154F5" w:rsidRPr="00D0375A" w:rsidRDefault="001561D0" w:rsidP="00D03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apsaugos ministerijos duomenys</w:t>
            </w:r>
          </w:p>
        </w:tc>
      </w:tr>
      <w:tr w:rsidR="00B02FCC" w:rsidRPr="00CB5FA9" w:rsidTr="000154F5">
        <w:trPr>
          <w:trHeight w:val="288"/>
        </w:trPr>
        <w:tc>
          <w:tcPr>
            <w:tcW w:w="2086" w:type="dxa"/>
            <w:vMerge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švietimo paslaugų poreikio patenkinimo padidėjimas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596E4D" w:rsidP="0001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3" w:type="dxa"/>
            <w:noWrap/>
          </w:tcPr>
          <w:p w:rsidR="000154F5" w:rsidRPr="00D0375A" w:rsidRDefault="001561D0" w:rsidP="00D03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Švietimo ir mokslo ministerijos duomenys</w:t>
            </w:r>
          </w:p>
        </w:tc>
      </w:tr>
      <w:tr w:rsidR="00B02FCC" w:rsidRPr="00CB5FA9" w:rsidTr="000154F5">
        <w:trPr>
          <w:trHeight w:val="864"/>
        </w:trPr>
        <w:tc>
          <w:tcPr>
            <w:tcW w:w="2086" w:type="dxa"/>
            <w:vMerge w:val="restart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 xml:space="preserve">Tikslas: Užtikrinti neįgaliesiems galimybę laisvai judėti fizinėje aplinkoje ir naudotis visiems prieinama informacija </w:t>
            </w: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neįgaliesiems pritaikytų viešųjų statinių ir objektų, transporto maršrutų, priemonių ir paslaugų gausėjimas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  <w:noWrap/>
          </w:tcPr>
          <w:p w:rsidR="000154F5" w:rsidRPr="00D0375A" w:rsidRDefault="00B02FCC" w:rsidP="0015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Atlikto tyrimo duomenimis 2012 metais pritaikyta apie 15 proc. viešosios paskirties statinių. Pritaikymas reikalingas 34000 statinių ar objektų. Vertinama, kaip ataskaitiniais metais p</w:t>
            </w:r>
            <w:r w:rsidRPr="00B02FCC">
              <w:rPr>
                <w:rFonts w:ascii="Times New Roman" w:hAnsi="Times New Roman" w:cs="Times New Roman"/>
              </w:rPr>
              <w:t>riimt</w:t>
            </w:r>
            <w:r>
              <w:rPr>
                <w:rFonts w:ascii="Times New Roman" w:hAnsi="Times New Roman" w:cs="Times New Roman"/>
              </w:rPr>
              <w:t xml:space="preserve">i eksploatuoti pritaikyti statiniai prisideda prie </w:t>
            </w:r>
            <w:r w:rsidR="001561D0" w:rsidRPr="00D0375A">
              <w:rPr>
                <w:rFonts w:ascii="Times New Roman" w:hAnsi="Times New Roman" w:cs="Times New Roman"/>
              </w:rPr>
              <w:t>neįgaliesiems pritaikytų viešųjų statinių ir objektų, transporto maršrutų gausėjim</w:t>
            </w:r>
            <w:r w:rsidR="001561D0">
              <w:rPr>
                <w:rFonts w:ascii="Times New Roman" w:hAnsi="Times New Roman" w:cs="Times New Roman"/>
              </w:rPr>
              <w:t>o</w:t>
            </w:r>
          </w:p>
        </w:tc>
      </w:tr>
      <w:tr w:rsidR="00B02FCC" w:rsidRPr="00CB5FA9" w:rsidTr="000154F5">
        <w:trPr>
          <w:trHeight w:val="864"/>
        </w:trPr>
        <w:tc>
          <w:tcPr>
            <w:tcW w:w="2086" w:type="dxa"/>
            <w:vMerge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regėjimo, klausos, sutrikusio intelekto negalių turintiems asmenims viešosios informacinės aplinkos prieinamumo didėjimas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3" w:type="dxa"/>
            <w:noWrap/>
          </w:tcPr>
          <w:p w:rsidR="000154F5" w:rsidRPr="00D0375A" w:rsidRDefault="001561D0" w:rsidP="0015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Vertinama, kokia dalis </w:t>
            </w:r>
            <w:r w:rsidR="006B54BD">
              <w:rPr>
                <w:rFonts w:ascii="Times New Roman" w:hAnsi="Times New Roman" w:cs="Times New Roman"/>
              </w:rPr>
              <w:t xml:space="preserve">LRT </w:t>
            </w:r>
            <w:r>
              <w:rPr>
                <w:rFonts w:ascii="Times New Roman" w:hAnsi="Times New Roman" w:cs="Times New Roman"/>
              </w:rPr>
              <w:t>televizijos laidų transliacijos laiko (titruojant, verčiant gestais) yra prieinama neįgaliesiems</w:t>
            </w:r>
          </w:p>
        </w:tc>
      </w:tr>
      <w:tr w:rsidR="00B02FCC" w:rsidRPr="00CB5FA9" w:rsidTr="000154F5">
        <w:trPr>
          <w:trHeight w:val="576"/>
        </w:trPr>
        <w:tc>
          <w:tcPr>
            <w:tcW w:w="2086" w:type="dxa"/>
            <w:vMerge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asmenų, tapusių neįgaliais dėl regėjimo ir judėjimo funkcijų sutrikimų, savarankiškumo ir mobilumo didėjimas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33" w:type="dxa"/>
            <w:noWrap/>
          </w:tcPr>
          <w:p w:rsidR="000154F5" w:rsidRPr="00D0375A" w:rsidRDefault="001561D0" w:rsidP="0015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Vertinama, kokia dalis neįgaliųjų, lyginant su bendru neįgaliųjų skaičiumi, ataskaitiniais metais buvo aprūpinti jų savarankiškumui būtina kompensacine technika arba atstatė savarankiškumą dalyvaudami </w:t>
            </w:r>
            <w:r w:rsidRPr="001561D0">
              <w:rPr>
                <w:rFonts w:ascii="Times New Roman" w:hAnsi="Times New Roman" w:cs="Times New Roman"/>
              </w:rPr>
              <w:t xml:space="preserve">Žmonių su fizine negalia mobilumo ir savarankiško </w:t>
            </w:r>
            <w:r>
              <w:rPr>
                <w:rFonts w:ascii="Times New Roman" w:hAnsi="Times New Roman" w:cs="Times New Roman"/>
              </w:rPr>
              <w:t>gyvenimo įgūdžių ugdymo projektuose</w:t>
            </w:r>
          </w:p>
        </w:tc>
      </w:tr>
      <w:tr w:rsidR="00B02FCC" w:rsidRPr="00CB5FA9" w:rsidTr="000154F5">
        <w:trPr>
          <w:trHeight w:val="864"/>
        </w:trPr>
        <w:tc>
          <w:tcPr>
            <w:tcW w:w="2086" w:type="dxa"/>
            <w:vMerge w:val="restart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Tikslas: Siekti didesnio neįgaliųjų užimtumo darbo rinkoje, kultūros, sporto, laisvalaikio veikloje</w:t>
            </w: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neįgaliųjų užimtumo darbo rinkoje didėjimas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  <w:noWrap/>
          </w:tcPr>
          <w:p w:rsidR="000154F5" w:rsidRPr="00D0375A" w:rsidRDefault="001561D0" w:rsidP="0015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Vertinama, kokia dalis darbingo amžiaus neįgaliųjų dirbo ataskaitiniais metais </w:t>
            </w:r>
          </w:p>
        </w:tc>
      </w:tr>
      <w:tr w:rsidR="00B02FCC" w:rsidRPr="00CB5FA9" w:rsidTr="000154F5">
        <w:trPr>
          <w:trHeight w:val="288"/>
        </w:trPr>
        <w:tc>
          <w:tcPr>
            <w:tcW w:w="2086" w:type="dxa"/>
            <w:vMerge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neįgaliųjų užimtumo kultūros veikloje didėjimas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  <w:noWrap/>
          </w:tcPr>
          <w:p w:rsidR="000154F5" w:rsidRPr="00D0375A" w:rsidRDefault="001561D0" w:rsidP="00D03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Vertinama, kokia dalis visų neįgaliųjų dalyvavo kultūros veiklose įgyvendinant Socialinės reabilitacijos paslaugų neįgaliesiems bendruomenėje bei Neįgaliųjų asociacijų veiklos rėmimo projektus</w:t>
            </w:r>
          </w:p>
        </w:tc>
      </w:tr>
      <w:tr w:rsidR="00B02FCC" w:rsidRPr="00CB5FA9" w:rsidTr="000154F5">
        <w:trPr>
          <w:trHeight w:val="288"/>
        </w:trPr>
        <w:tc>
          <w:tcPr>
            <w:tcW w:w="2086" w:type="dxa"/>
            <w:vMerge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neįgaliųjų užimtumo sporto veikloje didėjimas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  <w:noWrap/>
          </w:tcPr>
          <w:p w:rsidR="000154F5" w:rsidRPr="00D0375A" w:rsidRDefault="001561D0" w:rsidP="00D03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Vertinama, kokia dalis visų neįgaliųjų dalyvavo sporto veiklose (KKSD duomenimis)</w:t>
            </w:r>
          </w:p>
        </w:tc>
      </w:tr>
      <w:tr w:rsidR="00B02FCC" w:rsidRPr="00CB5FA9" w:rsidTr="000154F5">
        <w:trPr>
          <w:trHeight w:val="1440"/>
        </w:trPr>
        <w:tc>
          <w:tcPr>
            <w:tcW w:w="2086" w:type="dxa"/>
            <w:vMerge w:val="restart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Tikslas: Užtikrinti neįgaliųjų teisių, pagrindinių laisvių gynimą nuo diskriminacijos dėl neįgalumo ir sudaryti palankias sąlygas tobulinti neįgaliųjų socialinės integracijos proceso valdymą</w:t>
            </w: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visuomenės nuomonė dėl neįgaliųjų diskriminacijos (balais) (1 – mažiausia diskriminacija, 10 – didžiausia diskriminacija)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1134" w:type="dxa"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4,8 (psichikos negalia 5,03)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noWrap/>
          </w:tcPr>
          <w:p w:rsidR="000154F5" w:rsidRPr="009606C3" w:rsidRDefault="001561D0" w:rsidP="001561D0">
            <w:pPr>
              <w:jc w:val="both"/>
              <w:rPr>
                <w:rFonts w:ascii="Times New Roman" w:hAnsi="Times New Roman" w:cs="Times New Roman"/>
              </w:rPr>
            </w:pPr>
            <w:r w:rsidRPr="009606C3">
              <w:rPr>
                <w:rFonts w:ascii="Times New Roman" w:eastAsia="Times New Roman" w:hAnsi="Times New Roman" w:cs="Times New Roman"/>
                <w:lang w:eastAsia="lt-LT"/>
              </w:rPr>
              <w:t xml:space="preserve">Kriterijaus šaltinis </w:t>
            </w:r>
            <w:proofErr w:type="gramStart"/>
            <w:r w:rsidRPr="009606C3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proofErr w:type="gramEnd"/>
            <w:r w:rsidRPr="009606C3">
              <w:rPr>
                <w:rFonts w:ascii="Times New Roman" w:eastAsia="Times New Roman" w:hAnsi="Times New Roman" w:cs="Times New Roman"/>
                <w:lang w:eastAsia="lt-LT"/>
              </w:rPr>
              <w:t>Žmogaus teisių stebėjimo instituto kas 2 metus vykdomas tyrimas „Kaip visuomenė vertina žmogaus teisių padėtį Lietuvoje“</w:t>
            </w:r>
          </w:p>
        </w:tc>
      </w:tr>
      <w:tr w:rsidR="00B02FCC" w:rsidRPr="00CB5FA9" w:rsidTr="000154F5">
        <w:trPr>
          <w:trHeight w:val="576"/>
        </w:trPr>
        <w:tc>
          <w:tcPr>
            <w:tcW w:w="2086" w:type="dxa"/>
            <w:vMerge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hideMark/>
          </w:tcPr>
          <w:p w:rsidR="000154F5" w:rsidRPr="00D0375A" w:rsidRDefault="000154F5" w:rsidP="00D0375A">
            <w:pPr>
              <w:jc w:val="both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neįgaliųjų, dalyvaujančių visuomeninėse organizacijose ir judėjimuose, gausėjimas (procentais)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noWrap/>
            <w:vAlign w:val="center"/>
            <w:hideMark/>
          </w:tcPr>
          <w:p w:rsidR="000154F5" w:rsidRPr="00D0375A" w:rsidRDefault="000154F5" w:rsidP="000154F5">
            <w:pPr>
              <w:jc w:val="center"/>
              <w:rPr>
                <w:rFonts w:ascii="Times New Roman" w:hAnsi="Times New Roman" w:cs="Times New Roman"/>
              </w:rPr>
            </w:pPr>
            <w:r w:rsidRPr="00D037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33" w:type="dxa"/>
            <w:noWrap/>
          </w:tcPr>
          <w:p w:rsidR="000154F5" w:rsidRPr="00D0375A" w:rsidRDefault="009606C3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Skaičiuojama, kokia dalis visų neįgaliųjų dalyvauja pagrindinių šalies </w:t>
            </w:r>
            <w:r w:rsidRPr="009606C3">
              <w:rPr>
                <w:rFonts w:ascii="Times New Roman" w:hAnsi="Times New Roman" w:cs="Times New Roman"/>
              </w:rPr>
              <w:t xml:space="preserve">skėtinių neįgaliųjų nevyriausybinių organizacijų </w:t>
            </w:r>
            <w:r>
              <w:rPr>
                <w:rFonts w:ascii="Times New Roman" w:hAnsi="Times New Roman" w:cs="Times New Roman"/>
              </w:rPr>
              <w:t xml:space="preserve">ir jų padalinių </w:t>
            </w:r>
            <w:r w:rsidRPr="009606C3">
              <w:rPr>
                <w:rFonts w:ascii="Times New Roman" w:hAnsi="Times New Roman" w:cs="Times New Roman"/>
              </w:rPr>
              <w:t>narystėje</w:t>
            </w:r>
          </w:p>
        </w:tc>
      </w:tr>
    </w:tbl>
    <w:p w:rsidR="009606C3" w:rsidRDefault="009606C3" w:rsidP="00344E52">
      <w:pPr>
        <w:spacing w:after="0" w:line="240" w:lineRule="auto"/>
        <w:ind w:firstLine="1296"/>
        <w:jc w:val="both"/>
      </w:pPr>
    </w:p>
    <w:p w:rsidR="00E40E46" w:rsidRDefault="00E40E46" w:rsidP="00E40E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0E46">
        <w:rPr>
          <w:rFonts w:ascii="Times New Roman" w:hAnsi="Times New Roman" w:cs="Times New Roman"/>
        </w:rPr>
        <w:t>Atsižvelgiant į aukščiau pateiktus duomenis, Departamentas mato poreikį atnaujinti dalies Nacionalinės neįgaliųjų socialinės integracijos 2013 – 2019 metų programos priede numatytų vertinimo kriterijų reikšmes taikant Departamento pasirinktą geriausiai kriterijaus įgyvendinimą atskleidžiančią skaičiavimo metodiką</w:t>
      </w:r>
      <w:r w:rsidR="008616C9">
        <w:rPr>
          <w:rFonts w:ascii="Times New Roman" w:hAnsi="Times New Roman" w:cs="Times New Roman"/>
        </w:rPr>
        <w:t>.</w:t>
      </w:r>
    </w:p>
    <w:p w:rsidR="008616C9" w:rsidRPr="00E40E46" w:rsidRDefault="008616C9" w:rsidP="00E40E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06C3" w:rsidRDefault="00D27016" w:rsidP="00960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606C3">
        <w:rPr>
          <w:rFonts w:ascii="Times New Roman" w:hAnsi="Times New Roman" w:cs="Times New Roman"/>
        </w:rPr>
        <w:t xml:space="preserve">. </w:t>
      </w:r>
      <w:r w:rsidR="009606C3" w:rsidRPr="009606C3">
        <w:rPr>
          <w:rFonts w:ascii="Times New Roman" w:hAnsi="Times New Roman" w:cs="Times New Roman"/>
        </w:rPr>
        <w:t xml:space="preserve">2015 m. pasibaigus trumpos trukmės planavimo dokumentui </w:t>
      </w:r>
      <w:proofErr w:type="gramStart"/>
      <w:r w:rsidR="009606C3" w:rsidRPr="009606C3">
        <w:rPr>
          <w:rFonts w:ascii="Times New Roman" w:hAnsi="Times New Roman" w:cs="Times New Roman"/>
        </w:rPr>
        <w:t>-</w:t>
      </w:r>
      <w:proofErr w:type="gramEnd"/>
      <w:r w:rsidR="009606C3" w:rsidRPr="009606C3">
        <w:rPr>
          <w:rFonts w:ascii="Times New Roman" w:hAnsi="Times New Roman" w:cs="Times New Roman"/>
        </w:rPr>
        <w:t xml:space="preserve"> Nacionalinės neįgaliųjų socialinės integracijos 2013 – 2019 metų programos 2013-2015 metų priemonių planui, pateikiame informaciją apie</w:t>
      </w:r>
      <w:r w:rsidR="009606C3">
        <w:rPr>
          <w:rFonts w:ascii="Times New Roman" w:hAnsi="Times New Roman" w:cs="Times New Roman"/>
        </w:rPr>
        <w:t xml:space="preserve"> pagrindinių priemonių plano tikslų </w:t>
      </w:r>
      <w:r w:rsidR="006B54BD">
        <w:rPr>
          <w:rFonts w:ascii="Times New Roman" w:hAnsi="Times New Roman" w:cs="Times New Roman"/>
        </w:rPr>
        <w:t>(</w:t>
      </w:r>
      <w:r w:rsidR="006B29B0">
        <w:rPr>
          <w:rFonts w:ascii="Times New Roman" w:hAnsi="Times New Roman" w:cs="Times New Roman"/>
        </w:rPr>
        <w:t>rezultato</w:t>
      </w:r>
      <w:r w:rsidR="006B54BD">
        <w:rPr>
          <w:rFonts w:ascii="Times New Roman" w:hAnsi="Times New Roman" w:cs="Times New Roman"/>
        </w:rPr>
        <w:t>)</w:t>
      </w:r>
      <w:r w:rsidR="006B29B0">
        <w:rPr>
          <w:rFonts w:ascii="Times New Roman" w:hAnsi="Times New Roman" w:cs="Times New Roman"/>
        </w:rPr>
        <w:t xml:space="preserve"> </w:t>
      </w:r>
      <w:r w:rsidR="009606C3">
        <w:rPr>
          <w:rFonts w:ascii="Times New Roman" w:hAnsi="Times New Roman" w:cs="Times New Roman"/>
        </w:rPr>
        <w:t>vertinimo kriterijų pokyčius 2013-2015 metais:</w:t>
      </w:r>
    </w:p>
    <w:p w:rsidR="009606C3" w:rsidRDefault="009606C3" w:rsidP="00960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076"/>
      </w:tblGrid>
      <w:tr w:rsidR="009606C3" w:rsidTr="00FE50E9">
        <w:tc>
          <w:tcPr>
            <w:tcW w:w="5778" w:type="dxa"/>
          </w:tcPr>
          <w:p w:rsidR="009606C3" w:rsidRDefault="006B29B0" w:rsidP="006B2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Rezultato v</w:t>
            </w:r>
            <w:r w:rsidR="009606C3">
              <w:rPr>
                <w:rFonts w:ascii="Times New Roman" w:hAnsi="Times New Roman" w:cs="Times New Roman"/>
              </w:rPr>
              <w:t>ertinimo kriterijaus pokytis</w:t>
            </w:r>
          </w:p>
          <w:p w:rsidR="00D27016" w:rsidRDefault="00D27016" w:rsidP="006B29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9606C3" w:rsidRDefault="009606C3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Pastaba</w:t>
            </w:r>
          </w:p>
        </w:tc>
      </w:tr>
      <w:tr w:rsidR="009606C3" w:rsidTr="00FE50E9">
        <w:tc>
          <w:tcPr>
            <w:tcW w:w="5778" w:type="dxa"/>
          </w:tcPr>
          <w:p w:rsidR="009606C3" w:rsidRDefault="006B29B0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R-1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1 </w:t>
            </w:r>
            <w:r w:rsidR="009606C3">
              <w:rPr>
                <w:rFonts w:ascii="Times New Roman" w:hAnsi="Times New Roman" w:cs="Times New Roman"/>
              </w:rPr>
              <w:t>Socialinės apsaugos poreikio patenkinimo augimas:</w:t>
            </w:r>
          </w:p>
          <w:p w:rsidR="006B29B0" w:rsidRDefault="006B29B0" w:rsidP="006B5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BE37FAD" wp14:editId="31A5C413">
                  <wp:extent cx="3359240" cy="20192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976" cy="2026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6B29B0" w:rsidRDefault="009606C3" w:rsidP="006B2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Vertinama, kiek procentų neįgaliųjų gavo įvairias nuolatines</w:t>
            </w:r>
            <w:r w:rsidR="006B29B0">
              <w:rPr>
                <w:rFonts w:ascii="Times New Roman" w:hAnsi="Times New Roman" w:cs="Times New Roman"/>
              </w:rPr>
              <w:t>, mažiausiai keletą kartų per savaitę besikartojančias</w:t>
            </w:r>
            <w:r>
              <w:rPr>
                <w:rFonts w:ascii="Times New Roman" w:hAnsi="Times New Roman" w:cs="Times New Roman"/>
              </w:rPr>
              <w:t xml:space="preserve"> socialinės apsaugos paslaugas (socialines, socialinės reabilitacijos, dienos bei stacionarios globos)</w:t>
            </w:r>
            <w:r w:rsidR="006B29B0">
              <w:rPr>
                <w:rFonts w:ascii="Times New Roman" w:hAnsi="Times New Roman" w:cs="Times New Roman"/>
              </w:rPr>
              <w:t xml:space="preserve">. </w:t>
            </w:r>
          </w:p>
          <w:p w:rsidR="009606C3" w:rsidRDefault="006B29B0" w:rsidP="006B54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Stebimas </w:t>
            </w:r>
            <w:r w:rsidRPr="006B29B0">
              <w:rPr>
                <w:rFonts w:ascii="Times New Roman" w:hAnsi="Times New Roman" w:cs="Times New Roman"/>
              </w:rPr>
              <w:t>Socialinės reabilitacijos paslaugas neįgaliesiems bendruomenėje gavusių neįgaliųjų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9B0">
              <w:rPr>
                <w:rFonts w:ascii="Times New Roman" w:hAnsi="Times New Roman" w:cs="Times New Roman"/>
              </w:rPr>
              <w:t>skaiči</w:t>
            </w:r>
            <w:r>
              <w:rPr>
                <w:rFonts w:ascii="Times New Roman" w:hAnsi="Times New Roman" w:cs="Times New Roman"/>
              </w:rPr>
              <w:t>a</w:t>
            </w:r>
            <w:r w:rsidRPr="006B29B0">
              <w:rPr>
                <w:rFonts w:ascii="Times New Roman" w:hAnsi="Times New Roman" w:cs="Times New Roman"/>
              </w:rPr>
              <w:t>us</w:t>
            </w:r>
            <w:r>
              <w:rPr>
                <w:rFonts w:ascii="Times New Roman" w:hAnsi="Times New Roman" w:cs="Times New Roman"/>
              </w:rPr>
              <w:t>, s</w:t>
            </w:r>
            <w:r w:rsidRPr="006B29B0">
              <w:rPr>
                <w:rFonts w:ascii="Times New Roman" w:hAnsi="Times New Roman" w:cs="Times New Roman"/>
              </w:rPr>
              <w:t>tacionariose globos įstaigose gyvenančių neįgalių vaikų skaiči</w:t>
            </w:r>
            <w:r>
              <w:rPr>
                <w:rFonts w:ascii="Times New Roman" w:hAnsi="Times New Roman" w:cs="Times New Roman"/>
              </w:rPr>
              <w:t>a</w:t>
            </w:r>
            <w:r w:rsidRPr="006B29B0">
              <w:rPr>
                <w:rFonts w:ascii="Times New Roman" w:hAnsi="Times New Roman" w:cs="Times New Roman"/>
              </w:rPr>
              <w:t>us</w:t>
            </w:r>
            <w:r>
              <w:rPr>
                <w:rFonts w:ascii="Times New Roman" w:hAnsi="Times New Roman" w:cs="Times New Roman"/>
              </w:rPr>
              <w:t xml:space="preserve"> mažėjimas. Mažėjimas nulemtas stipresne </w:t>
            </w:r>
            <w:r w:rsidRPr="006B29B0">
              <w:rPr>
                <w:rFonts w:ascii="Times New Roman" w:hAnsi="Times New Roman" w:cs="Times New Roman"/>
              </w:rPr>
              <w:t>Socialinės reabilitacijos paslaugas neįgaliesiems bendruomenėje</w:t>
            </w:r>
            <w:r>
              <w:rPr>
                <w:rFonts w:ascii="Times New Roman" w:hAnsi="Times New Roman" w:cs="Times New Roman"/>
              </w:rPr>
              <w:t xml:space="preserve"> projektų kontrolę perdavus savivaldybėms, perėjimas prie nuolatinio pobūdžio paslaugų, </w:t>
            </w:r>
            <w:r w:rsidR="006B54BD">
              <w:rPr>
                <w:rFonts w:ascii="Times New Roman" w:hAnsi="Times New Roman" w:cs="Times New Roman"/>
              </w:rPr>
              <w:t xml:space="preserve">o vaikų globos </w:t>
            </w:r>
            <w:proofErr w:type="gramStart"/>
            <w:r w:rsidR="006B54BD">
              <w:rPr>
                <w:rFonts w:ascii="Times New Roman" w:hAnsi="Times New Roman" w:cs="Times New Roman"/>
              </w:rPr>
              <w:t>-</w:t>
            </w:r>
            <w:proofErr w:type="gramEnd"/>
            <w:r w:rsidR="006B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vykdoma socialinės globos įstaigų reforma</w:t>
            </w:r>
          </w:p>
        </w:tc>
      </w:tr>
      <w:tr w:rsidR="009606C3" w:rsidTr="00FE50E9">
        <w:tc>
          <w:tcPr>
            <w:tcW w:w="5778" w:type="dxa"/>
          </w:tcPr>
          <w:p w:rsidR="009606C3" w:rsidRDefault="006B29B0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R-2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6B29B0">
              <w:rPr>
                <w:rFonts w:ascii="Times New Roman" w:hAnsi="Times New Roman" w:cs="Times New Roman"/>
              </w:rPr>
              <w:t>neįgaliesiems pritaikytų viešųjų statinių ir objektų, transporto maršrutų, priemonių ir paslaugų gausėjimas (procentais)</w:t>
            </w:r>
          </w:p>
          <w:p w:rsidR="00FE50E9" w:rsidRDefault="00FE50E9" w:rsidP="006B5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8AB59E9" wp14:editId="20A50CE6">
                  <wp:extent cx="2735311" cy="1646499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153" cy="1651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16C9" w:rsidRDefault="008616C9" w:rsidP="006B54BD">
            <w:pPr>
              <w:jc w:val="center"/>
              <w:rPr>
                <w:rFonts w:ascii="Times New Roman" w:hAnsi="Times New Roman" w:cs="Times New Roman"/>
              </w:rPr>
            </w:pPr>
          </w:p>
          <w:p w:rsidR="00D27016" w:rsidRDefault="00D27016" w:rsidP="006B54BD">
            <w:pPr>
              <w:jc w:val="center"/>
              <w:rPr>
                <w:rFonts w:ascii="Times New Roman" w:hAnsi="Times New Roman" w:cs="Times New Roman"/>
              </w:rPr>
            </w:pPr>
          </w:p>
          <w:p w:rsidR="00D27016" w:rsidRDefault="00D27016" w:rsidP="006B54BD">
            <w:pPr>
              <w:jc w:val="center"/>
              <w:rPr>
                <w:rFonts w:ascii="Times New Roman" w:hAnsi="Times New Roman" w:cs="Times New Roman"/>
              </w:rPr>
            </w:pPr>
          </w:p>
          <w:p w:rsidR="00D27016" w:rsidRDefault="00D27016" w:rsidP="006B5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9606C3" w:rsidRDefault="006B29B0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Atlikto tyrimo duomenimis 2012 metais pritaikyta apie 15 proc. viešosios paskirties statinių. Pritaikymas reikalingas 34000 statinių ar objektų. Vertinama, kaip ataskaitiniais metais p</w:t>
            </w:r>
            <w:r w:rsidRPr="00B02FCC">
              <w:rPr>
                <w:rFonts w:ascii="Times New Roman" w:hAnsi="Times New Roman" w:cs="Times New Roman"/>
              </w:rPr>
              <w:t>riimt</w:t>
            </w:r>
            <w:r>
              <w:rPr>
                <w:rFonts w:ascii="Times New Roman" w:hAnsi="Times New Roman" w:cs="Times New Roman"/>
              </w:rPr>
              <w:t xml:space="preserve">i eksploatuoti pritaikyti statiniai prisideda prie </w:t>
            </w:r>
            <w:r w:rsidRPr="00D0375A">
              <w:rPr>
                <w:rFonts w:ascii="Times New Roman" w:hAnsi="Times New Roman" w:cs="Times New Roman"/>
              </w:rPr>
              <w:t>neįgaliesiems pritaikytų viešųjų statinių ir objektų, transporto maršrutų gausėjim</w:t>
            </w:r>
            <w:r>
              <w:rPr>
                <w:rFonts w:ascii="Times New Roman" w:hAnsi="Times New Roman" w:cs="Times New Roman"/>
              </w:rPr>
              <w:t>o</w:t>
            </w:r>
            <w:r w:rsidR="00FE50E9">
              <w:rPr>
                <w:rFonts w:ascii="Times New Roman" w:hAnsi="Times New Roman" w:cs="Times New Roman"/>
              </w:rPr>
              <w:t>. Parodo pritaikytų statinių ir objektų procentą.</w:t>
            </w:r>
          </w:p>
        </w:tc>
      </w:tr>
      <w:tr w:rsidR="009606C3" w:rsidTr="00FE50E9">
        <w:tc>
          <w:tcPr>
            <w:tcW w:w="5778" w:type="dxa"/>
          </w:tcPr>
          <w:p w:rsidR="009606C3" w:rsidRDefault="006B29B0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R-2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2 </w:t>
            </w:r>
            <w:r w:rsidR="006B54BD">
              <w:rPr>
                <w:rFonts w:ascii="Times New Roman" w:hAnsi="Times New Roman" w:cs="Times New Roman"/>
              </w:rPr>
              <w:t>Viešosios informacinės aplinkos prieinamumo regėjimo, klausos, sutrikusio intelekto negalias turintiems asmenims augimas proc.</w:t>
            </w:r>
          </w:p>
          <w:p w:rsidR="006B54BD" w:rsidRDefault="006B54BD" w:rsidP="006B5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6DC4DFF">
                  <wp:extent cx="2997200" cy="180414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30" cy="180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606C3" w:rsidRDefault="006B54BD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Vertinama, kokia dalis LRT televizijos laidų transliacijos laiko (titruojant, verčiant gestais) yra prieinama neįgaliesiems. Mažėjimas nulemtas skaičiavime naudojamo bendro transliacijų laiko padidėjimas.</w:t>
            </w:r>
          </w:p>
        </w:tc>
      </w:tr>
      <w:tr w:rsidR="009606C3" w:rsidTr="00FE50E9">
        <w:tc>
          <w:tcPr>
            <w:tcW w:w="5778" w:type="dxa"/>
          </w:tcPr>
          <w:p w:rsidR="009606C3" w:rsidRDefault="006B54BD" w:rsidP="006B54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R-2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3 Asmenų, tapusių neįgaliais dėl regėjimo ir judėjimo funkcijų sutrikimų, savarankiškumo ir mobilumo didėjimas, proc.</w:t>
            </w:r>
          </w:p>
          <w:p w:rsidR="006B54BD" w:rsidRDefault="006B54BD" w:rsidP="006B5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092DE0D">
                  <wp:extent cx="3136900" cy="1888231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29" cy="1894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606C3" w:rsidRDefault="00936901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Vertinama, kokia dalis neįgaliųjų, lyginant su bendru neįgaliųjų skaičiumi, ataskaitiniais metais buvo aprūpinti jų savarankiškumui būtina kompensacine technika arba atstatė savarankiškumą dalyvaudami </w:t>
            </w:r>
            <w:r w:rsidRPr="001561D0">
              <w:rPr>
                <w:rFonts w:ascii="Times New Roman" w:hAnsi="Times New Roman" w:cs="Times New Roman"/>
              </w:rPr>
              <w:t xml:space="preserve">Žmonių su fizine negalia mobilumo ir savarankiško </w:t>
            </w:r>
            <w:r>
              <w:rPr>
                <w:rFonts w:ascii="Times New Roman" w:hAnsi="Times New Roman" w:cs="Times New Roman"/>
              </w:rPr>
              <w:t>gyvenimo įgūdžių ugdymo projektuose</w:t>
            </w:r>
          </w:p>
        </w:tc>
      </w:tr>
      <w:tr w:rsidR="009606C3" w:rsidTr="00FE50E9">
        <w:tc>
          <w:tcPr>
            <w:tcW w:w="5778" w:type="dxa"/>
          </w:tcPr>
          <w:p w:rsidR="009606C3" w:rsidRDefault="00936901" w:rsidP="009369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R-3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1 Neįgaliųjų užimtumo darbo rinkoje augimas, proc.</w:t>
            </w:r>
          </w:p>
          <w:p w:rsidR="00936901" w:rsidRDefault="00936901" w:rsidP="00936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76432B6">
                  <wp:extent cx="3213100" cy="1931421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774" cy="1934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606C3" w:rsidRDefault="00936901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Vertinama, kokia dalis darbingo amžiaus neįgaliųjų dirbo ataskaitiniais metais</w:t>
            </w:r>
          </w:p>
        </w:tc>
      </w:tr>
      <w:tr w:rsidR="009606C3" w:rsidTr="00FE50E9">
        <w:tc>
          <w:tcPr>
            <w:tcW w:w="5778" w:type="dxa"/>
          </w:tcPr>
          <w:p w:rsidR="00183BA6" w:rsidRDefault="00936901" w:rsidP="00FA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R-3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2 Neįgaliųjų užimtų kultūros veiklose augimas, proc.</w:t>
            </w:r>
            <w:r w:rsidR="00183BA6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0A65201" wp14:editId="47A4CA21">
                  <wp:extent cx="3240391" cy="1946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179" cy="1949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16C9" w:rsidRDefault="008616C9" w:rsidP="00FA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9606C3" w:rsidRDefault="00183BA6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Vertinama, kokia dalis visų neįgaliųjų dalyvavo kultūros veiklose įgyvendinant Socialinės reabilitacijos paslaugų neįgaliesiems bendruomenėje bei Neįgaliųjų asociacijų veiklos rėmimo projektus</w:t>
            </w:r>
          </w:p>
        </w:tc>
      </w:tr>
      <w:tr w:rsidR="00FA2823" w:rsidTr="00FE50E9">
        <w:tc>
          <w:tcPr>
            <w:tcW w:w="5778" w:type="dxa"/>
          </w:tcPr>
          <w:p w:rsidR="00FA2823" w:rsidRDefault="00FA2823" w:rsidP="00FA28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R-3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3 Neįgaliųjų dalyvaujančių kūno kultūros ir sporto veikloje augimas proc.</w:t>
            </w:r>
          </w:p>
          <w:p w:rsidR="00FA2823" w:rsidRDefault="00FA2823" w:rsidP="00FA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B1E22C0" wp14:editId="4E282CC4">
                  <wp:extent cx="3244850" cy="1953211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1953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2823" w:rsidRDefault="00FA2823" w:rsidP="009606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A2823" w:rsidRPr="009606C3" w:rsidRDefault="00FA2823" w:rsidP="009606C3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Vertinama, kokia dalis visų neįgaliųjų dalyvavo sporto veiklose (KKSD duomenimis)</w:t>
            </w:r>
          </w:p>
        </w:tc>
      </w:tr>
      <w:tr w:rsidR="00936901" w:rsidTr="00FE50E9">
        <w:tc>
          <w:tcPr>
            <w:tcW w:w="5778" w:type="dxa"/>
          </w:tcPr>
          <w:p w:rsidR="00936901" w:rsidRDefault="00FA2823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4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1 Visuomenės nuomonė dėl neįgaliųjų diskriminacijos (balais)</w:t>
            </w:r>
          </w:p>
          <w:p w:rsidR="00FA2823" w:rsidRDefault="00FA2823" w:rsidP="00FA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78C04B6">
                  <wp:extent cx="3327400" cy="2002901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002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936901" w:rsidRDefault="00FA2823" w:rsidP="009606C3">
            <w:pPr>
              <w:jc w:val="both"/>
              <w:rPr>
                <w:rFonts w:ascii="Times New Roman" w:hAnsi="Times New Roman" w:cs="Times New Roman"/>
              </w:rPr>
            </w:pPr>
            <w:r w:rsidRPr="009606C3">
              <w:rPr>
                <w:rFonts w:ascii="Times New Roman" w:eastAsia="Times New Roman" w:hAnsi="Times New Roman" w:cs="Times New Roman"/>
                <w:lang w:eastAsia="lt-LT"/>
              </w:rPr>
              <w:t xml:space="preserve">Kriterijaus šaltinis </w:t>
            </w:r>
            <w:proofErr w:type="gramStart"/>
            <w:r w:rsidRPr="009606C3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proofErr w:type="gramEnd"/>
            <w:r w:rsidRPr="009606C3">
              <w:rPr>
                <w:rFonts w:ascii="Times New Roman" w:eastAsia="Times New Roman" w:hAnsi="Times New Roman" w:cs="Times New Roman"/>
                <w:lang w:eastAsia="lt-LT"/>
              </w:rPr>
              <w:t>Žmogaus teisių stebėjimo instituto kas 2 metus vykdomas tyrimas „Kaip visuomenė vertina žmogaus teisių padėtį Lietuvoje“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 Vertinama skalėje nuo 1 iki 10: 1- mažiausia diskriminacija, 10 – didžiausia diskriminacija</w:t>
            </w:r>
          </w:p>
        </w:tc>
      </w:tr>
      <w:tr w:rsidR="00FA2823" w:rsidTr="00FE50E9">
        <w:tc>
          <w:tcPr>
            <w:tcW w:w="5778" w:type="dxa"/>
          </w:tcPr>
          <w:p w:rsidR="00FA2823" w:rsidRDefault="00FA2823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R-4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2 Neįgaliųjų, dalyvaujančių visuomeninėse organizacijose ir judėjimuose skaičiaus augimas, proc.</w:t>
            </w:r>
          </w:p>
          <w:p w:rsidR="00FA2823" w:rsidRDefault="00FA2823" w:rsidP="00FA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D11A55B">
                  <wp:extent cx="3453478" cy="207879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374" cy="2079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FA2823" w:rsidRDefault="001C6E23" w:rsidP="00960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Skaičiuojama, kokia dalis visų neįgaliųjų dalyvauja pagrindinių šalies </w:t>
            </w:r>
            <w:r w:rsidRPr="009606C3">
              <w:rPr>
                <w:rFonts w:ascii="Times New Roman" w:hAnsi="Times New Roman" w:cs="Times New Roman"/>
              </w:rPr>
              <w:t xml:space="preserve">skėtinių neįgaliųjų nevyriausybinių organizacijų </w:t>
            </w:r>
            <w:r>
              <w:rPr>
                <w:rFonts w:ascii="Times New Roman" w:hAnsi="Times New Roman" w:cs="Times New Roman"/>
              </w:rPr>
              <w:t xml:space="preserve">ir jų padalinių </w:t>
            </w:r>
            <w:r w:rsidRPr="009606C3">
              <w:rPr>
                <w:rFonts w:ascii="Times New Roman" w:hAnsi="Times New Roman" w:cs="Times New Roman"/>
              </w:rPr>
              <w:t>narystėje</w:t>
            </w:r>
            <w:r>
              <w:rPr>
                <w:rFonts w:ascii="Times New Roman" w:hAnsi="Times New Roman" w:cs="Times New Roman"/>
              </w:rPr>
              <w:t xml:space="preserve">. Neįgalieji – asmenys, kuriems teisės aktų nustatyta tvarka nustatytas neįgalumo lygis, netektas darbingumas arba specialieji poreikiai. </w:t>
            </w:r>
          </w:p>
          <w:p w:rsidR="001C6E23" w:rsidRDefault="001C6E23" w:rsidP="001C6E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Departamento vertinimu, mažėjimą lemia 2 priežastys: </w:t>
            </w:r>
          </w:p>
          <w:p w:rsidR="001C6E23" w:rsidRPr="001C6E23" w:rsidRDefault="001C6E23" w:rsidP="001C6E23">
            <w:pPr>
              <w:pStyle w:val="ListParagraph"/>
              <w:numPr>
                <w:ilvl w:val="0"/>
                <w:numId w:val="3"/>
              </w:numPr>
              <w:tabs>
                <w:tab w:val="left" w:pos="2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1C6E23">
              <w:rPr>
                <w:rFonts w:ascii="Times New Roman" w:hAnsi="Times New Roman" w:cs="Times New Roman"/>
              </w:rPr>
              <w:t>stipresnė Socialinės reabilitacijos paslaugas neįgaliesiems bendruomenėje projektų kontrolė perdavus administravimą savivaldybėms</w:t>
            </w:r>
            <w:r>
              <w:rPr>
                <w:rFonts w:ascii="Times New Roman" w:hAnsi="Times New Roman" w:cs="Times New Roman"/>
              </w:rPr>
              <w:t>. Dauguma organizacijų peržiūrėjo ir atnaujino turimus narių sąrašus;</w:t>
            </w:r>
          </w:p>
          <w:p w:rsidR="001C6E23" w:rsidRPr="001C6E23" w:rsidRDefault="001C6E23" w:rsidP="001C6E23">
            <w:pPr>
              <w:pStyle w:val="ListParagraph"/>
              <w:numPr>
                <w:ilvl w:val="0"/>
                <w:numId w:val="3"/>
              </w:numPr>
              <w:tabs>
                <w:tab w:val="left" w:pos="212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Kadangi didžioji dalis organizacijų narių yra priešpensinio amžiaus, sukakus pensiniam amžiui pasirenka gauti senatvės pensiją ir nesikreipia dėl specialiųjų poreikių nustatymo, todėl netenka neįgaliojo statuso</w:t>
            </w:r>
          </w:p>
        </w:tc>
      </w:tr>
    </w:tbl>
    <w:p w:rsidR="00560A40" w:rsidRDefault="00750D4C" w:rsidP="00D27016">
      <w:pPr>
        <w:pStyle w:val="bodytext"/>
        <w:tabs>
          <w:tab w:val="left" w:pos="851"/>
        </w:tabs>
        <w:spacing w:before="0" w:beforeAutospacing="0" w:after="0" w:afterAutospacing="0"/>
        <w:jc w:val="both"/>
      </w:pPr>
      <w:r>
        <w:tab/>
      </w:r>
    </w:p>
    <w:p w:rsidR="00D27016" w:rsidRDefault="00D27016" w:rsidP="00D27016">
      <w:pPr>
        <w:pStyle w:val="bodytext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D27016" w:rsidRDefault="00D27016" w:rsidP="00D27016">
      <w:pPr>
        <w:pStyle w:val="bodytext"/>
        <w:tabs>
          <w:tab w:val="left" w:pos="851"/>
        </w:tabs>
        <w:spacing w:before="0" w:beforeAutospacing="0" w:after="0" w:afterAutospacing="0"/>
        <w:ind w:firstLine="709"/>
        <w:jc w:val="both"/>
      </w:pPr>
      <w:r>
        <w:t xml:space="preserve">5. Įgyvendinant </w:t>
      </w:r>
      <w:r w:rsidRPr="00AB49A4">
        <w:t>Nacionalinės neįgaliųjų socialinės integracijos 2013 – 2019 metų programos</w:t>
      </w:r>
      <w:r w:rsidRPr="00912788">
        <w:t xml:space="preserve"> </w:t>
      </w:r>
      <w:r>
        <w:t>17.2.4 punkto nuostatas, 2015 m. s</w:t>
      </w:r>
      <w:r w:rsidRPr="00912788">
        <w:t xml:space="preserve">u 6 institucijomis suderinti </w:t>
      </w:r>
      <w:r>
        <w:t xml:space="preserve">teiktini </w:t>
      </w:r>
      <w:r w:rsidRPr="00912788">
        <w:t xml:space="preserve">neįgaliųjų socialinės integracijos rodikliai (socialinės apsaugos, sveikatos, švietimo, sporto ir kt. srityse, taip pat neįgalumo statistiniai rodikliai </w:t>
      </w:r>
      <w:proofErr w:type="gramStart"/>
      <w:r w:rsidRPr="00912788">
        <w:t>-</w:t>
      </w:r>
      <w:proofErr w:type="gramEnd"/>
      <w:r w:rsidRPr="00912788">
        <w:t xml:space="preserve"> viso 27 rodiklių grupės</w:t>
      </w:r>
      <w:r>
        <w:t xml:space="preserve"> ir per 300 rodiklių). </w:t>
      </w:r>
    </w:p>
    <w:p w:rsidR="00D27016" w:rsidRDefault="00D27016" w:rsidP="00D27016">
      <w:pPr>
        <w:pStyle w:val="bodytext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S</w:t>
      </w:r>
      <w:r w:rsidRPr="00912788">
        <w:t>urinkti 2014 metų duomenys: pagal 14 rodiklių grupių, apibūdinančių neįgaliųjų socialinę integraciją socialinės apsaugos srityje, 9 rodiklių grupes švietimo srityje, 3 rodiklių grupės sveikatos apsaugos srityje, 1 rodiklio grupės užimtumo srityje.</w:t>
      </w:r>
      <w:r w:rsidRPr="00B55B01">
        <w:t xml:space="preserve"> </w:t>
      </w:r>
      <w:r>
        <w:t xml:space="preserve">Rodikliai paskelbti Departamento interneto svetainėje </w:t>
      </w:r>
      <w:hyperlink r:id="rId18" w:history="1">
        <w:r w:rsidRPr="00B114FC">
          <w:rPr>
            <w:rStyle w:val="Hyperlink"/>
          </w:rPr>
          <w:t>www.ndt.lt</w:t>
        </w:r>
      </w:hyperlink>
      <w:r>
        <w:t>.</w:t>
      </w:r>
    </w:p>
    <w:p w:rsidR="00560A40" w:rsidRDefault="00560A40" w:rsidP="00560A40">
      <w:pPr>
        <w:pStyle w:val="bodytext"/>
        <w:tabs>
          <w:tab w:val="left" w:pos="851"/>
        </w:tabs>
        <w:spacing w:before="0" w:beforeAutospacing="0" w:after="0" w:afterAutospacing="0"/>
        <w:jc w:val="both"/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784" w:rsidRDefault="00EF3762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F3762">
        <w:rPr>
          <w:rFonts w:ascii="Times New Roman" w:hAnsi="Times New Roman"/>
          <w:color w:val="000000"/>
          <w:sz w:val="24"/>
          <w:szCs w:val="24"/>
        </w:rPr>
        <w:t>Departamento direktorė</w:t>
      </w:r>
      <w:r w:rsidRPr="00EF376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06E8F">
        <w:rPr>
          <w:rFonts w:ascii="Times New Roman" w:hAnsi="Times New Roman"/>
          <w:color w:val="000000"/>
          <w:sz w:val="24"/>
          <w:szCs w:val="24"/>
        </w:rPr>
        <w:t xml:space="preserve">Asta </w:t>
      </w:r>
      <w:proofErr w:type="spellStart"/>
      <w:r w:rsidR="00F06E8F">
        <w:rPr>
          <w:rFonts w:ascii="Times New Roman" w:hAnsi="Times New Roman"/>
          <w:color w:val="000000"/>
          <w:sz w:val="24"/>
          <w:szCs w:val="24"/>
        </w:rPr>
        <w:t>Kandratavičienė</w:t>
      </w:r>
      <w:proofErr w:type="spellEnd"/>
    </w:p>
    <w:p w:rsidR="00EF3762" w:rsidRDefault="00EF3762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2C5" w:rsidRDefault="00B752C5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2C5" w:rsidRDefault="00B752C5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016" w:rsidRDefault="00D27016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2C5" w:rsidRDefault="00B752C5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3762" w:rsidRPr="00EF3762" w:rsidRDefault="00EF3762" w:rsidP="00A625DF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rFonts w:ascii="Times New Roman" w:hAnsi="Times New Roman"/>
          <w:color w:val="000000"/>
        </w:rPr>
      </w:pPr>
      <w:r w:rsidRPr="00EF3762">
        <w:rPr>
          <w:rFonts w:ascii="Times New Roman" w:hAnsi="Times New Roman"/>
          <w:color w:val="000000"/>
        </w:rPr>
        <w:t>M. Oleškevičienė, 2394424</w:t>
      </w:r>
    </w:p>
    <w:sectPr w:rsidR="00EF3762" w:rsidRPr="00EF3762" w:rsidSect="00D27016">
      <w:headerReference w:type="default" r:id="rId1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7A" w:rsidRDefault="00DE087A" w:rsidP="00802028">
      <w:pPr>
        <w:spacing w:after="0" w:line="240" w:lineRule="auto"/>
      </w:pPr>
      <w:r>
        <w:separator/>
      </w:r>
    </w:p>
  </w:endnote>
  <w:endnote w:type="continuationSeparator" w:id="0">
    <w:p w:rsidR="00DE087A" w:rsidRDefault="00DE087A" w:rsidP="0080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7A" w:rsidRDefault="00DE087A" w:rsidP="00802028">
      <w:pPr>
        <w:spacing w:after="0" w:line="240" w:lineRule="auto"/>
      </w:pPr>
      <w:r>
        <w:separator/>
      </w:r>
    </w:p>
  </w:footnote>
  <w:footnote w:type="continuationSeparator" w:id="0">
    <w:p w:rsidR="00DE087A" w:rsidRDefault="00DE087A" w:rsidP="0080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09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2028" w:rsidRDefault="008020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028" w:rsidRDefault="00802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043"/>
    <w:multiLevelType w:val="hybridMultilevel"/>
    <w:tmpl w:val="E75069A6"/>
    <w:lvl w:ilvl="0" w:tplc="E674849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232"/>
    <w:multiLevelType w:val="hybridMultilevel"/>
    <w:tmpl w:val="29EEFF78"/>
    <w:lvl w:ilvl="0" w:tplc="A6327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B01F7"/>
    <w:multiLevelType w:val="hybridMultilevel"/>
    <w:tmpl w:val="68365C7E"/>
    <w:lvl w:ilvl="0" w:tplc="FF2E2E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7"/>
    <w:rsid w:val="00000E20"/>
    <w:rsid w:val="000150FC"/>
    <w:rsid w:val="000154F5"/>
    <w:rsid w:val="00024B7B"/>
    <w:rsid w:val="00025716"/>
    <w:rsid w:val="00031D4F"/>
    <w:rsid w:val="000375F8"/>
    <w:rsid w:val="0004500A"/>
    <w:rsid w:val="00053CCB"/>
    <w:rsid w:val="00056446"/>
    <w:rsid w:val="00065F0C"/>
    <w:rsid w:val="000672DE"/>
    <w:rsid w:val="00072792"/>
    <w:rsid w:val="00087A9A"/>
    <w:rsid w:val="0009188D"/>
    <w:rsid w:val="000952FC"/>
    <w:rsid w:val="00095658"/>
    <w:rsid w:val="000A5B4A"/>
    <w:rsid w:val="000C0671"/>
    <w:rsid w:val="000C4689"/>
    <w:rsid w:val="000C585F"/>
    <w:rsid w:val="000D0FB6"/>
    <w:rsid w:val="001152FC"/>
    <w:rsid w:val="001178C0"/>
    <w:rsid w:val="00122ED3"/>
    <w:rsid w:val="00133CAA"/>
    <w:rsid w:val="00134F8D"/>
    <w:rsid w:val="00135B43"/>
    <w:rsid w:val="00135ED5"/>
    <w:rsid w:val="001424C2"/>
    <w:rsid w:val="00150E8F"/>
    <w:rsid w:val="001561D0"/>
    <w:rsid w:val="00183158"/>
    <w:rsid w:val="00183BA6"/>
    <w:rsid w:val="00185A08"/>
    <w:rsid w:val="00186806"/>
    <w:rsid w:val="0019562E"/>
    <w:rsid w:val="001A6D1F"/>
    <w:rsid w:val="001C6199"/>
    <w:rsid w:val="001C6E23"/>
    <w:rsid w:val="001C7144"/>
    <w:rsid w:val="001C775E"/>
    <w:rsid w:val="001E4A8D"/>
    <w:rsid w:val="001F1B6B"/>
    <w:rsid w:val="001F3223"/>
    <w:rsid w:val="00207FAF"/>
    <w:rsid w:val="00231C8C"/>
    <w:rsid w:val="00235507"/>
    <w:rsid w:val="002368FB"/>
    <w:rsid w:val="0024553F"/>
    <w:rsid w:val="00245B68"/>
    <w:rsid w:val="00252DBA"/>
    <w:rsid w:val="00253A1C"/>
    <w:rsid w:val="00255E10"/>
    <w:rsid w:val="00262550"/>
    <w:rsid w:val="002656FB"/>
    <w:rsid w:val="00274A42"/>
    <w:rsid w:val="002756D0"/>
    <w:rsid w:val="002A3357"/>
    <w:rsid w:val="002A3BF2"/>
    <w:rsid w:val="002B27E8"/>
    <w:rsid w:val="002D017A"/>
    <w:rsid w:val="002D62F0"/>
    <w:rsid w:val="002E446E"/>
    <w:rsid w:val="002E7248"/>
    <w:rsid w:val="002F5270"/>
    <w:rsid w:val="003034FC"/>
    <w:rsid w:val="00316011"/>
    <w:rsid w:val="00335234"/>
    <w:rsid w:val="003430CF"/>
    <w:rsid w:val="00344E52"/>
    <w:rsid w:val="00346066"/>
    <w:rsid w:val="00354A11"/>
    <w:rsid w:val="0035615C"/>
    <w:rsid w:val="00367DC6"/>
    <w:rsid w:val="00381F58"/>
    <w:rsid w:val="003A3981"/>
    <w:rsid w:val="003B29DD"/>
    <w:rsid w:val="003B3497"/>
    <w:rsid w:val="003B3720"/>
    <w:rsid w:val="003B61CB"/>
    <w:rsid w:val="003C2176"/>
    <w:rsid w:val="003E1FDF"/>
    <w:rsid w:val="003E3763"/>
    <w:rsid w:val="003F1DCA"/>
    <w:rsid w:val="0042798B"/>
    <w:rsid w:val="004379A4"/>
    <w:rsid w:val="00442CBA"/>
    <w:rsid w:val="004441DE"/>
    <w:rsid w:val="0046315D"/>
    <w:rsid w:val="00466765"/>
    <w:rsid w:val="0049331E"/>
    <w:rsid w:val="004A5F0E"/>
    <w:rsid w:val="004A6A90"/>
    <w:rsid w:val="004C0AE5"/>
    <w:rsid w:val="004C30C9"/>
    <w:rsid w:val="004C4FB9"/>
    <w:rsid w:val="004E2439"/>
    <w:rsid w:val="004E528F"/>
    <w:rsid w:val="0050790A"/>
    <w:rsid w:val="00517440"/>
    <w:rsid w:val="0053758D"/>
    <w:rsid w:val="00550396"/>
    <w:rsid w:val="00550820"/>
    <w:rsid w:val="00560A40"/>
    <w:rsid w:val="00582AA0"/>
    <w:rsid w:val="0059076E"/>
    <w:rsid w:val="00596E4D"/>
    <w:rsid w:val="005A73F3"/>
    <w:rsid w:val="005B6CCB"/>
    <w:rsid w:val="005D04B2"/>
    <w:rsid w:val="005D1B84"/>
    <w:rsid w:val="005D3034"/>
    <w:rsid w:val="005D77C0"/>
    <w:rsid w:val="00602BC1"/>
    <w:rsid w:val="00606317"/>
    <w:rsid w:val="00614646"/>
    <w:rsid w:val="00633A78"/>
    <w:rsid w:val="0063438A"/>
    <w:rsid w:val="00634518"/>
    <w:rsid w:val="00645D1B"/>
    <w:rsid w:val="006677D6"/>
    <w:rsid w:val="00684E7A"/>
    <w:rsid w:val="00687ED0"/>
    <w:rsid w:val="006A199D"/>
    <w:rsid w:val="006B29B0"/>
    <w:rsid w:val="006B54BD"/>
    <w:rsid w:val="006C1CEB"/>
    <w:rsid w:val="006C2501"/>
    <w:rsid w:val="006D1607"/>
    <w:rsid w:val="006D1D8C"/>
    <w:rsid w:val="006E3B73"/>
    <w:rsid w:val="006E669B"/>
    <w:rsid w:val="006F289D"/>
    <w:rsid w:val="006F3524"/>
    <w:rsid w:val="00702C4C"/>
    <w:rsid w:val="00706230"/>
    <w:rsid w:val="007119B0"/>
    <w:rsid w:val="00730741"/>
    <w:rsid w:val="007361EA"/>
    <w:rsid w:val="00743FFD"/>
    <w:rsid w:val="00750D4C"/>
    <w:rsid w:val="0076790F"/>
    <w:rsid w:val="00781E41"/>
    <w:rsid w:val="00792F78"/>
    <w:rsid w:val="00793748"/>
    <w:rsid w:val="00795467"/>
    <w:rsid w:val="00795E54"/>
    <w:rsid w:val="007B4F2A"/>
    <w:rsid w:val="007C40C2"/>
    <w:rsid w:val="007C49E9"/>
    <w:rsid w:val="007D17D5"/>
    <w:rsid w:val="007F0D73"/>
    <w:rsid w:val="007F2F09"/>
    <w:rsid w:val="007F3ECC"/>
    <w:rsid w:val="00802028"/>
    <w:rsid w:val="0081406D"/>
    <w:rsid w:val="008145AD"/>
    <w:rsid w:val="00837F75"/>
    <w:rsid w:val="00845B89"/>
    <w:rsid w:val="008608B1"/>
    <w:rsid w:val="008612A0"/>
    <w:rsid w:val="008616C9"/>
    <w:rsid w:val="0087436A"/>
    <w:rsid w:val="00875F29"/>
    <w:rsid w:val="00886223"/>
    <w:rsid w:val="008876AF"/>
    <w:rsid w:val="00887E8C"/>
    <w:rsid w:val="008925F4"/>
    <w:rsid w:val="0089423D"/>
    <w:rsid w:val="008A15CC"/>
    <w:rsid w:val="008A376B"/>
    <w:rsid w:val="008B3A28"/>
    <w:rsid w:val="008C320A"/>
    <w:rsid w:val="008D7C1F"/>
    <w:rsid w:val="008E49A8"/>
    <w:rsid w:val="008F5A37"/>
    <w:rsid w:val="00904112"/>
    <w:rsid w:val="009165C1"/>
    <w:rsid w:val="00922828"/>
    <w:rsid w:val="00925823"/>
    <w:rsid w:val="00936901"/>
    <w:rsid w:val="00937D1A"/>
    <w:rsid w:val="009416C1"/>
    <w:rsid w:val="00941E48"/>
    <w:rsid w:val="009606C3"/>
    <w:rsid w:val="00961F6F"/>
    <w:rsid w:val="00964437"/>
    <w:rsid w:val="00972A91"/>
    <w:rsid w:val="009A39E8"/>
    <w:rsid w:val="009A4AAF"/>
    <w:rsid w:val="009B0E58"/>
    <w:rsid w:val="009B37EF"/>
    <w:rsid w:val="009C7960"/>
    <w:rsid w:val="009D589F"/>
    <w:rsid w:val="009E5FDC"/>
    <w:rsid w:val="00A212A4"/>
    <w:rsid w:val="00A34DD7"/>
    <w:rsid w:val="00A60D8E"/>
    <w:rsid w:val="00A62413"/>
    <w:rsid w:val="00A625DF"/>
    <w:rsid w:val="00A83BEB"/>
    <w:rsid w:val="00A91F3B"/>
    <w:rsid w:val="00AA1CF0"/>
    <w:rsid w:val="00AB400D"/>
    <w:rsid w:val="00AB49A4"/>
    <w:rsid w:val="00AB4AFB"/>
    <w:rsid w:val="00AB72EE"/>
    <w:rsid w:val="00AD2AE9"/>
    <w:rsid w:val="00AE57F0"/>
    <w:rsid w:val="00AF37F8"/>
    <w:rsid w:val="00B02555"/>
    <w:rsid w:val="00B02FCC"/>
    <w:rsid w:val="00B23446"/>
    <w:rsid w:val="00B31E03"/>
    <w:rsid w:val="00B47D39"/>
    <w:rsid w:val="00B538A7"/>
    <w:rsid w:val="00B55B01"/>
    <w:rsid w:val="00B602FA"/>
    <w:rsid w:val="00B66170"/>
    <w:rsid w:val="00B73995"/>
    <w:rsid w:val="00B752C5"/>
    <w:rsid w:val="00B926B7"/>
    <w:rsid w:val="00B94E53"/>
    <w:rsid w:val="00BC74AB"/>
    <w:rsid w:val="00BD05F2"/>
    <w:rsid w:val="00BD0DDC"/>
    <w:rsid w:val="00BE0998"/>
    <w:rsid w:val="00BF1228"/>
    <w:rsid w:val="00BF3E1A"/>
    <w:rsid w:val="00C01893"/>
    <w:rsid w:val="00C109C6"/>
    <w:rsid w:val="00C15784"/>
    <w:rsid w:val="00C244F0"/>
    <w:rsid w:val="00C25E44"/>
    <w:rsid w:val="00C40F4F"/>
    <w:rsid w:val="00C43310"/>
    <w:rsid w:val="00C5699F"/>
    <w:rsid w:val="00C84B86"/>
    <w:rsid w:val="00C965A0"/>
    <w:rsid w:val="00C96AF9"/>
    <w:rsid w:val="00C96FD0"/>
    <w:rsid w:val="00C97AA8"/>
    <w:rsid w:val="00CB3D40"/>
    <w:rsid w:val="00CB5FA9"/>
    <w:rsid w:val="00CC65E8"/>
    <w:rsid w:val="00CD0F18"/>
    <w:rsid w:val="00CE3A60"/>
    <w:rsid w:val="00CE3E56"/>
    <w:rsid w:val="00CF0394"/>
    <w:rsid w:val="00D03668"/>
    <w:rsid w:val="00D0375A"/>
    <w:rsid w:val="00D260C3"/>
    <w:rsid w:val="00D27016"/>
    <w:rsid w:val="00D27DC7"/>
    <w:rsid w:val="00D431AF"/>
    <w:rsid w:val="00D441EE"/>
    <w:rsid w:val="00D52254"/>
    <w:rsid w:val="00D672E1"/>
    <w:rsid w:val="00D6766F"/>
    <w:rsid w:val="00D67913"/>
    <w:rsid w:val="00D76609"/>
    <w:rsid w:val="00D97C83"/>
    <w:rsid w:val="00DB3A31"/>
    <w:rsid w:val="00DB7BAE"/>
    <w:rsid w:val="00DC058A"/>
    <w:rsid w:val="00DC49A8"/>
    <w:rsid w:val="00DC6602"/>
    <w:rsid w:val="00DC78D9"/>
    <w:rsid w:val="00DE087A"/>
    <w:rsid w:val="00DE2F9D"/>
    <w:rsid w:val="00DF0C15"/>
    <w:rsid w:val="00E064FD"/>
    <w:rsid w:val="00E06AA3"/>
    <w:rsid w:val="00E06FA4"/>
    <w:rsid w:val="00E15076"/>
    <w:rsid w:val="00E251F4"/>
    <w:rsid w:val="00E30107"/>
    <w:rsid w:val="00E31F92"/>
    <w:rsid w:val="00E40E46"/>
    <w:rsid w:val="00E6287C"/>
    <w:rsid w:val="00E825AB"/>
    <w:rsid w:val="00E86E27"/>
    <w:rsid w:val="00E875E1"/>
    <w:rsid w:val="00E90B98"/>
    <w:rsid w:val="00E955C0"/>
    <w:rsid w:val="00EA35CF"/>
    <w:rsid w:val="00EA7698"/>
    <w:rsid w:val="00EB601C"/>
    <w:rsid w:val="00EC5B26"/>
    <w:rsid w:val="00ED1A6E"/>
    <w:rsid w:val="00EE0EFF"/>
    <w:rsid w:val="00EF3762"/>
    <w:rsid w:val="00EF531E"/>
    <w:rsid w:val="00F04014"/>
    <w:rsid w:val="00F06E8F"/>
    <w:rsid w:val="00F1351E"/>
    <w:rsid w:val="00F15345"/>
    <w:rsid w:val="00F34E6F"/>
    <w:rsid w:val="00F467B9"/>
    <w:rsid w:val="00F60A22"/>
    <w:rsid w:val="00F6509E"/>
    <w:rsid w:val="00F6692A"/>
    <w:rsid w:val="00F87E02"/>
    <w:rsid w:val="00FA2823"/>
    <w:rsid w:val="00FA37FA"/>
    <w:rsid w:val="00FA5A8D"/>
    <w:rsid w:val="00FB51F6"/>
    <w:rsid w:val="00FC0F28"/>
    <w:rsid w:val="00FC3D96"/>
    <w:rsid w:val="00FD1995"/>
    <w:rsid w:val="00FD425A"/>
    <w:rsid w:val="00FD623F"/>
    <w:rsid w:val="00FE0777"/>
    <w:rsid w:val="00FE118C"/>
    <w:rsid w:val="00FE50E9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E27"/>
    <w:rPr>
      <w:color w:val="000000"/>
      <w:u w:val="single"/>
    </w:rPr>
  </w:style>
  <w:style w:type="paragraph" w:customStyle="1" w:styleId="centrbold">
    <w:name w:val="centrbold"/>
    <w:basedOn w:val="Normal"/>
    <w:rsid w:val="00E8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Normal"/>
    <w:rsid w:val="00E8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linija">
    <w:name w:val="linija"/>
    <w:basedOn w:val="Normal"/>
    <w:rsid w:val="00E8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02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28"/>
  </w:style>
  <w:style w:type="paragraph" w:styleId="Footer">
    <w:name w:val="footer"/>
    <w:basedOn w:val="Normal"/>
    <w:link w:val="FooterChar"/>
    <w:uiPriority w:val="99"/>
    <w:unhideWhenUsed/>
    <w:rsid w:val="00802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28"/>
  </w:style>
  <w:style w:type="paragraph" w:styleId="BalloonText">
    <w:name w:val="Balloon Text"/>
    <w:basedOn w:val="Normal"/>
    <w:link w:val="BalloonTextChar"/>
    <w:uiPriority w:val="99"/>
    <w:semiHidden/>
    <w:unhideWhenUsed/>
    <w:rsid w:val="0080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9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9546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Hyperlink Char"/>
    <w:link w:val="BodyText1"/>
    <w:rsid w:val="006F289D"/>
    <w:rPr>
      <w:rFonts w:ascii="Times New Roman" w:eastAsia="Times New Roman" w:hAnsi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6F28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E27"/>
    <w:rPr>
      <w:color w:val="000000"/>
      <w:u w:val="single"/>
    </w:rPr>
  </w:style>
  <w:style w:type="paragraph" w:customStyle="1" w:styleId="centrbold">
    <w:name w:val="centrbold"/>
    <w:basedOn w:val="Normal"/>
    <w:rsid w:val="00E8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Normal"/>
    <w:rsid w:val="00E8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linija">
    <w:name w:val="linija"/>
    <w:basedOn w:val="Normal"/>
    <w:rsid w:val="00E8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02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28"/>
  </w:style>
  <w:style w:type="paragraph" w:styleId="Footer">
    <w:name w:val="footer"/>
    <w:basedOn w:val="Normal"/>
    <w:link w:val="FooterChar"/>
    <w:uiPriority w:val="99"/>
    <w:unhideWhenUsed/>
    <w:rsid w:val="00802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28"/>
  </w:style>
  <w:style w:type="paragraph" w:styleId="BalloonText">
    <w:name w:val="Balloon Text"/>
    <w:basedOn w:val="Normal"/>
    <w:link w:val="BalloonTextChar"/>
    <w:uiPriority w:val="99"/>
    <w:semiHidden/>
    <w:unhideWhenUsed/>
    <w:rsid w:val="0080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9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9546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Hyperlink Char"/>
    <w:link w:val="BodyText1"/>
    <w:rsid w:val="006F289D"/>
    <w:rPr>
      <w:rFonts w:ascii="Times New Roman" w:eastAsia="Times New Roman" w:hAnsi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6F28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1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ndt.l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4DDA-AFED-40D9-A4A1-6E45F132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Jablonskienė</dc:creator>
  <cp:lastModifiedBy>Marija Oleškevičienė</cp:lastModifiedBy>
  <cp:revision>23</cp:revision>
  <cp:lastPrinted>2014-02-05T12:41:00Z</cp:lastPrinted>
  <dcterms:created xsi:type="dcterms:W3CDTF">2014-02-05T15:26:00Z</dcterms:created>
  <dcterms:modified xsi:type="dcterms:W3CDTF">2016-02-22T15:37:00Z</dcterms:modified>
</cp:coreProperties>
</file>