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54" w:rsidRDefault="00007A54" w:rsidP="00007A54">
      <w:pPr>
        <w:widowControl w:val="0"/>
        <w:shd w:val="clear" w:color="auto" w:fill="FFFFFF"/>
        <w:tabs>
          <w:tab w:val="left" w:pos="0"/>
        </w:tabs>
        <w:ind w:firstLine="567"/>
        <w:jc w:val="center"/>
        <w:rPr>
          <w:rFonts w:ascii="Times New Roman" w:hAnsi="Times New Roman"/>
          <w:b/>
          <w:bCs/>
          <w:sz w:val="24"/>
          <w:lang w:val="lt-LT"/>
        </w:rPr>
      </w:pPr>
      <w:r w:rsidRPr="00D53B9C">
        <w:rPr>
          <w:rFonts w:ascii="Times New Roman" w:hAnsi="Times New Roman"/>
          <w:b/>
          <w:bCs/>
          <w:sz w:val="24"/>
          <w:lang w:val="lt-LT"/>
        </w:rPr>
        <w:t>UŽSIENIO ŠALIŲ PATIRTIS TEIKIANT PROFESINĖS REABILITACIJOS PASLAUGAS</w:t>
      </w:r>
    </w:p>
    <w:p w:rsidR="00CF5BD7" w:rsidRDefault="00CF5BD7" w:rsidP="00007A54">
      <w:pPr>
        <w:widowControl w:val="0"/>
        <w:shd w:val="clear" w:color="auto" w:fill="FFFFFF"/>
        <w:tabs>
          <w:tab w:val="left" w:pos="0"/>
        </w:tabs>
        <w:ind w:firstLine="567"/>
        <w:jc w:val="center"/>
        <w:rPr>
          <w:rFonts w:ascii="Times New Roman" w:hAnsi="Times New Roman"/>
          <w:b/>
          <w:bCs/>
          <w:sz w:val="24"/>
          <w:lang w:val="lt-LT"/>
        </w:rPr>
      </w:pPr>
    </w:p>
    <w:p w:rsidR="00007A54" w:rsidRPr="00CF5BD7"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
          <w:sz w:val="24"/>
          <w:szCs w:val="24"/>
          <w:lang w:val="lt-LT" w:eastAsia="lt-LT"/>
        </w:rPr>
      </w:pPr>
      <w:proofErr w:type="spellStart"/>
      <w:r w:rsidRPr="00CF5BD7">
        <w:rPr>
          <w:rFonts w:ascii="Times New Roman" w:hAnsi="Times New Roman"/>
          <w:b/>
          <w:sz w:val="24"/>
          <w:szCs w:val="24"/>
          <w:lang w:val="lt-LT" w:eastAsia="lt-LT"/>
        </w:rPr>
        <w:t>VšĮ</w:t>
      </w:r>
      <w:proofErr w:type="spellEnd"/>
      <w:r w:rsidRPr="00CF5BD7">
        <w:rPr>
          <w:rFonts w:ascii="Times New Roman" w:hAnsi="Times New Roman"/>
          <w:b/>
          <w:sz w:val="24"/>
          <w:szCs w:val="24"/>
          <w:lang w:val="lt-LT" w:eastAsia="lt-LT"/>
        </w:rPr>
        <w:t xml:space="preserve"> </w:t>
      </w:r>
      <w:proofErr w:type="spellStart"/>
      <w:r w:rsidRPr="00CF5BD7">
        <w:rPr>
          <w:rFonts w:ascii="Times New Roman" w:hAnsi="Times New Roman"/>
          <w:b/>
          <w:sz w:val="24"/>
          <w:szCs w:val="24"/>
          <w:lang w:val="lt-LT" w:eastAsia="lt-LT"/>
        </w:rPr>
        <w:t>Valakupių</w:t>
      </w:r>
      <w:proofErr w:type="spellEnd"/>
      <w:r w:rsidRPr="00CF5BD7">
        <w:rPr>
          <w:rFonts w:ascii="Times New Roman" w:hAnsi="Times New Roman"/>
          <w:b/>
          <w:sz w:val="24"/>
          <w:szCs w:val="24"/>
          <w:lang w:val="lt-LT" w:eastAsia="lt-LT"/>
        </w:rPr>
        <w:t xml:space="preserve"> reabilitacijos centras</w:t>
      </w:r>
      <w:r w:rsidR="00E51F84" w:rsidRPr="00CF5BD7">
        <w:rPr>
          <w:rFonts w:ascii="Times New Roman" w:hAnsi="Times New Roman"/>
          <w:b/>
          <w:sz w:val="24"/>
          <w:szCs w:val="24"/>
          <w:lang w:val="lt-LT" w:eastAsia="lt-LT"/>
        </w:rPr>
        <w:t>,</w:t>
      </w:r>
      <w:r w:rsidRPr="00CF5BD7">
        <w:rPr>
          <w:rFonts w:ascii="Times New Roman" w:hAnsi="Times New Roman"/>
          <w:b/>
          <w:sz w:val="24"/>
          <w:szCs w:val="24"/>
          <w:lang w:val="lt-LT" w:eastAsia="lt-LT"/>
        </w:rPr>
        <w:t xml:space="preserve"> </w:t>
      </w:r>
      <w:r w:rsidR="000B63C3">
        <w:rPr>
          <w:rFonts w:ascii="Times New Roman" w:hAnsi="Times New Roman"/>
          <w:b/>
          <w:sz w:val="24"/>
          <w:szCs w:val="24"/>
          <w:lang w:val="lt-LT" w:eastAsia="lt-LT"/>
        </w:rPr>
        <w:t xml:space="preserve">įgyvendindamas </w:t>
      </w:r>
      <w:r w:rsidR="005401C1">
        <w:rPr>
          <w:rFonts w:ascii="Times New Roman" w:hAnsi="Times New Roman"/>
          <w:b/>
          <w:sz w:val="24"/>
          <w:szCs w:val="24"/>
          <w:lang w:val="lt-LT" w:eastAsia="lt-LT"/>
        </w:rPr>
        <w:t>P</w:t>
      </w:r>
      <w:r w:rsidR="000B63C3">
        <w:rPr>
          <w:rFonts w:ascii="Times New Roman" w:hAnsi="Times New Roman"/>
          <w:b/>
          <w:sz w:val="24"/>
          <w:szCs w:val="24"/>
          <w:lang w:val="lt-LT" w:eastAsia="lt-LT"/>
        </w:rPr>
        <w:t xml:space="preserve">rofesinės reabilitacijos metodinio centro funkcijas ir </w:t>
      </w:r>
      <w:r w:rsidR="00E51F84" w:rsidRPr="00CF5BD7">
        <w:rPr>
          <w:rFonts w:ascii="Times New Roman" w:hAnsi="Times New Roman"/>
          <w:b/>
          <w:sz w:val="24"/>
          <w:szCs w:val="24"/>
          <w:lang w:val="lt-LT" w:eastAsia="lt-LT"/>
        </w:rPr>
        <w:t>rengdamas</w:t>
      </w:r>
      <w:r w:rsidRPr="00CF5BD7">
        <w:rPr>
          <w:rFonts w:ascii="Times New Roman" w:hAnsi="Times New Roman"/>
          <w:b/>
          <w:sz w:val="24"/>
          <w:szCs w:val="24"/>
          <w:lang w:val="lt-LT" w:eastAsia="lt-LT"/>
        </w:rPr>
        <w:t xml:space="preserve"> </w:t>
      </w:r>
      <w:r w:rsidR="005401C1">
        <w:rPr>
          <w:rFonts w:ascii="Times New Roman" w:hAnsi="Times New Roman"/>
          <w:b/>
          <w:sz w:val="24"/>
          <w:szCs w:val="24"/>
          <w:lang w:val="lt-LT" w:eastAsia="lt-LT"/>
        </w:rPr>
        <w:t>P</w:t>
      </w:r>
      <w:r w:rsidR="00E51F84" w:rsidRPr="00CF5BD7">
        <w:rPr>
          <w:rFonts w:ascii="Times New Roman" w:hAnsi="Times New Roman"/>
          <w:b/>
          <w:sz w:val="24"/>
          <w:szCs w:val="24"/>
          <w:lang w:val="lt-LT" w:eastAsia="lt-LT"/>
        </w:rPr>
        <w:t xml:space="preserve">rofesinės reabilitacijos paslaugų teikimo </w:t>
      </w:r>
      <w:r w:rsidR="0087721F">
        <w:rPr>
          <w:rFonts w:ascii="Times New Roman" w:hAnsi="Times New Roman"/>
          <w:b/>
          <w:sz w:val="24"/>
          <w:szCs w:val="24"/>
          <w:lang w:val="lt-LT" w:eastAsia="lt-LT"/>
        </w:rPr>
        <w:t>neįgaliesiems 2015-2020 m. strategijos projektą</w:t>
      </w:r>
      <w:r w:rsidR="00E51F84" w:rsidRPr="00CF5BD7">
        <w:rPr>
          <w:rFonts w:ascii="Times New Roman" w:hAnsi="Times New Roman"/>
          <w:b/>
          <w:sz w:val="24"/>
          <w:szCs w:val="24"/>
          <w:lang w:val="lt-LT" w:eastAsia="lt-LT"/>
        </w:rPr>
        <w:t>,</w:t>
      </w:r>
      <w:r w:rsidR="00F472CA">
        <w:rPr>
          <w:rFonts w:ascii="Times New Roman" w:hAnsi="Times New Roman"/>
          <w:b/>
          <w:sz w:val="24"/>
          <w:szCs w:val="24"/>
          <w:lang w:val="lt-LT" w:eastAsia="lt-LT"/>
        </w:rPr>
        <w:t xml:space="preserve"> 2014 m.</w:t>
      </w:r>
      <w:r w:rsidR="00E51F84" w:rsidRPr="00CF5BD7">
        <w:rPr>
          <w:rFonts w:ascii="Times New Roman" w:hAnsi="Times New Roman"/>
          <w:b/>
          <w:sz w:val="24"/>
          <w:szCs w:val="24"/>
          <w:lang w:val="lt-LT" w:eastAsia="lt-LT"/>
        </w:rPr>
        <w:t xml:space="preserve"> </w:t>
      </w:r>
      <w:r w:rsidRPr="00CF5BD7">
        <w:rPr>
          <w:rFonts w:ascii="Times New Roman" w:hAnsi="Times New Roman"/>
          <w:b/>
          <w:sz w:val="24"/>
          <w:szCs w:val="24"/>
          <w:lang w:val="lt-LT" w:eastAsia="lt-LT"/>
        </w:rPr>
        <w:t xml:space="preserve">atliko užsienio šalių (Norvegijos, Prancūzijos, Slovėnijos) profesinės reabilitacijos paslaugų teikimo gerosios praktikos apžvalgą. </w:t>
      </w:r>
      <w:r w:rsidRPr="000A2353">
        <w:rPr>
          <w:rFonts w:ascii="Times New Roman" w:hAnsi="Times New Roman"/>
          <w:b/>
          <w:sz w:val="24"/>
          <w:szCs w:val="24"/>
          <w:lang w:val="lt-LT" w:eastAsia="lt-LT"/>
        </w:rPr>
        <w:t xml:space="preserve">Užsienio šalių praktikos analizei buvo atrinktos </w:t>
      </w:r>
      <w:r w:rsidR="00CF5BD7" w:rsidRPr="000A2353">
        <w:rPr>
          <w:rFonts w:ascii="Times New Roman" w:hAnsi="Times New Roman"/>
          <w:b/>
          <w:sz w:val="24"/>
          <w:szCs w:val="24"/>
          <w:lang w:val="lt-LT" w:eastAsia="lt-LT"/>
        </w:rPr>
        <w:t xml:space="preserve">3 Europos </w:t>
      </w:r>
      <w:r w:rsidRPr="000A2353">
        <w:rPr>
          <w:rFonts w:ascii="Times New Roman" w:hAnsi="Times New Roman"/>
          <w:b/>
          <w:sz w:val="24"/>
          <w:szCs w:val="24"/>
          <w:lang w:val="lt-LT" w:eastAsia="lt-LT"/>
        </w:rPr>
        <w:t xml:space="preserve">šalys, kuriose jau yra susiformavusi </w:t>
      </w:r>
      <w:r w:rsidR="00E51F84" w:rsidRPr="000A2353">
        <w:rPr>
          <w:rFonts w:ascii="Times New Roman" w:hAnsi="Times New Roman"/>
          <w:b/>
          <w:sz w:val="24"/>
          <w:szCs w:val="24"/>
          <w:lang w:val="lt-LT" w:eastAsia="lt-LT"/>
        </w:rPr>
        <w:t>ilgametė profesinės reabilitacijos</w:t>
      </w:r>
      <w:r w:rsidRPr="000A2353">
        <w:rPr>
          <w:rFonts w:ascii="Times New Roman" w:hAnsi="Times New Roman"/>
          <w:b/>
          <w:sz w:val="24"/>
          <w:szCs w:val="24"/>
          <w:lang w:val="lt-LT" w:eastAsia="lt-LT"/>
        </w:rPr>
        <w:t xml:space="preserve"> praktika</w:t>
      </w:r>
      <w:r w:rsidR="00CF5BD7" w:rsidRPr="000A2353">
        <w:rPr>
          <w:rFonts w:ascii="Times New Roman" w:hAnsi="Times New Roman"/>
          <w:b/>
          <w:sz w:val="24"/>
          <w:szCs w:val="24"/>
          <w:lang w:val="lt-LT" w:eastAsia="lt-LT"/>
        </w:rPr>
        <w:t xml:space="preserve"> bei plėtojama metodinė</w:t>
      </w:r>
      <w:r w:rsidR="00E51F84" w:rsidRPr="000A2353">
        <w:rPr>
          <w:rFonts w:ascii="Times New Roman" w:hAnsi="Times New Roman"/>
          <w:b/>
          <w:sz w:val="24"/>
          <w:szCs w:val="24"/>
          <w:lang w:val="lt-LT" w:eastAsia="lt-LT"/>
        </w:rPr>
        <w:t xml:space="preserve"> šių paslaugų </w:t>
      </w:r>
      <w:r w:rsidR="00CF5BD7" w:rsidRPr="000A2353">
        <w:rPr>
          <w:rFonts w:ascii="Times New Roman" w:hAnsi="Times New Roman"/>
          <w:b/>
          <w:sz w:val="24"/>
          <w:szCs w:val="24"/>
          <w:lang w:val="lt-LT" w:eastAsia="lt-LT"/>
        </w:rPr>
        <w:t>sistema</w:t>
      </w:r>
      <w:r w:rsidRPr="000A2353">
        <w:rPr>
          <w:rFonts w:ascii="Times New Roman" w:hAnsi="Times New Roman"/>
          <w:b/>
          <w:sz w:val="24"/>
          <w:szCs w:val="24"/>
          <w:lang w:val="lt-LT" w:eastAsia="lt-LT"/>
        </w:rPr>
        <w:t>.</w:t>
      </w:r>
    </w:p>
    <w:p w:rsidR="00007A54" w:rsidRPr="00D53B9C" w:rsidRDefault="00007A54" w:rsidP="00007A54">
      <w:pPr>
        <w:widowControl w:val="0"/>
        <w:shd w:val="clear" w:color="auto" w:fill="FFFFFF"/>
        <w:tabs>
          <w:tab w:val="left" w:pos="0"/>
        </w:tabs>
        <w:ind w:firstLine="567"/>
        <w:jc w:val="center"/>
        <w:rPr>
          <w:rFonts w:ascii="Times New Roman" w:hAnsi="Times New Roman"/>
          <w:b/>
          <w:bCs/>
          <w:sz w:val="24"/>
          <w:lang w:val="lt-LT"/>
        </w:rPr>
      </w:pPr>
      <w:r w:rsidRPr="00D53B9C">
        <w:rPr>
          <w:rFonts w:ascii="Times New Roman" w:hAnsi="Times New Roman"/>
          <w:b/>
          <w:bCs/>
          <w:sz w:val="24"/>
          <w:lang w:val="lt-LT"/>
        </w:rPr>
        <w:t xml:space="preserve"> </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sz w:val="24"/>
          <w:szCs w:val="24"/>
          <w:lang w:val="lt-LT" w:eastAsia="lt-LT"/>
        </w:rPr>
        <w:t>Europos šalyse</w:t>
      </w:r>
      <w:r w:rsidR="005401C1">
        <w:rPr>
          <w:rFonts w:ascii="Times New Roman" w:hAnsi="Times New Roman"/>
          <w:sz w:val="24"/>
          <w:szCs w:val="24"/>
          <w:lang w:val="lt-LT" w:eastAsia="lt-LT"/>
        </w:rPr>
        <w:t>,</w:t>
      </w:r>
      <w:r w:rsidRPr="00D53B9C">
        <w:rPr>
          <w:rFonts w:ascii="Times New Roman" w:hAnsi="Times New Roman"/>
          <w:sz w:val="24"/>
          <w:szCs w:val="24"/>
          <w:lang w:val="lt-LT" w:eastAsia="lt-LT"/>
        </w:rPr>
        <w:t xml:space="preserve"> taip pat kaip ir Lietuvoje</w:t>
      </w:r>
      <w:r w:rsidR="005401C1">
        <w:rPr>
          <w:rFonts w:ascii="Times New Roman" w:hAnsi="Times New Roman"/>
          <w:sz w:val="24"/>
          <w:szCs w:val="24"/>
          <w:lang w:val="lt-LT" w:eastAsia="lt-LT"/>
        </w:rPr>
        <w:t>,</w:t>
      </w:r>
      <w:r w:rsidRPr="00D53B9C">
        <w:rPr>
          <w:rFonts w:ascii="Times New Roman" w:hAnsi="Times New Roman"/>
          <w:sz w:val="24"/>
          <w:szCs w:val="24"/>
          <w:lang w:val="lt-LT" w:eastAsia="lt-LT"/>
        </w:rPr>
        <w:t xml:space="preserve"> profesinės reabilitacijos paslaugomis siekiama atkurti arba didinti šioje program</w:t>
      </w:r>
      <w:bookmarkStart w:id="0" w:name="_GoBack"/>
      <w:bookmarkEnd w:id="0"/>
      <w:r w:rsidRPr="00D53B9C">
        <w:rPr>
          <w:rFonts w:ascii="Times New Roman" w:hAnsi="Times New Roman"/>
          <w:sz w:val="24"/>
          <w:szCs w:val="24"/>
          <w:lang w:val="lt-LT" w:eastAsia="lt-LT"/>
        </w:rPr>
        <w:t xml:space="preserve">oje dalyvaujančių asmenų darbingumą, siekiant padėti jiems integruotis į visuomenę ir (ar) į darbo rinką. Daugelyje Europos šalių siekiama profesinės reabilitacijos paslaugas suteikti kuo anksčiau, todėl, pavyzdžiui, Norvegijoje į profesinę reabilitaciją yra siunčiami ne tik negalią turintys, bet ir laikinai nedarbingi asmenys, kuriems darbingumo lygis dar nėra nustatytas. Darbingumo lygis tokiems asmenims yra nustatomas pasibaigus profesinės reabilitacijos programai. Į profesinės reabilitacijos programą asmenys patenka po to, kai jiems nustatomas profesinės reabilitacijos poreikis, tačiau kai kuriose šalyse (pvz. Norvegijoje), skirtingai nei Lietuvoje, profesinės reabilitacijos paslaugų poreikis nustatomas po to, kai yra atliktas 4-8 savaičių trukmės asmens profesinių gebėjimų įvertinimas. </w:t>
      </w:r>
      <w:r w:rsidRPr="00D53B9C">
        <w:rPr>
          <w:rFonts w:ascii="Times New Roman" w:hAnsi="Times New Roman"/>
          <w:bCs/>
          <w:sz w:val="24"/>
          <w:szCs w:val="24"/>
          <w:lang w:val="lt-LT" w:eastAsia="lt-LT"/>
        </w:rPr>
        <w:t>Atsisakę dalyvauti profesinės reabilitacijos programoje asmenys, kuriems nustatytas profesinės reabilitacijos poreikis, gali netekti išmokų, mokamų laikino nedarbingumo dėl ligos metu, o neįgaliesiems gali būti sumažinta neįgalumo pašalpa.</w:t>
      </w:r>
    </w:p>
    <w:p w:rsidR="00007A54"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sz w:val="24"/>
          <w:szCs w:val="24"/>
          <w:lang w:val="lt-LT" w:eastAsia="lt-LT"/>
        </w:rPr>
      </w:pPr>
      <w:r w:rsidRPr="00D53B9C">
        <w:rPr>
          <w:rFonts w:ascii="Times New Roman" w:hAnsi="Times New Roman"/>
          <w:sz w:val="24"/>
          <w:szCs w:val="24"/>
          <w:lang w:val="lt-LT" w:eastAsia="lt-LT"/>
        </w:rPr>
        <w:t>Nors profesinės reabilitacijos programą sudarančių paslaugų turinys Lietuvoje ir kitose Europos šalyse yra panašus, tačiau šių paslaugų teikimo trukmė skiriasi - Lietuvoje profesinės reabilitacijos programa vienam asmeniui finansuojama ne ilgiau kaip 12 mėnesių, tuo tarpu kitose šalyse jos trukmė yra ženkliai ilgesnė, pavyzdžiui, Austrijoje - iki 18 mėnesių, Prancūzijoje, Slovėnijoje, Vokietijoje, Airijoje – iki 24 mėnesių (nepaisant to, kad pavyzdžiui, Slovėnijoje medicininė reabilitacija gali trukti iki 1 metų ir jos metu asmeniui pradedamos teikti asmens darbingumo atkūrimo paslaugos), Norvegijoje - iki 36 mėnesių.</w:t>
      </w:r>
      <w:r w:rsidR="00B369B1">
        <w:rPr>
          <w:rFonts w:ascii="Times New Roman" w:hAnsi="Times New Roman"/>
          <w:sz w:val="24"/>
          <w:szCs w:val="24"/>
          <w:lang w:val="lt-LT" w:eastAsia="lt-LT"/>
        </w:rPr>
        <w:t xml:space="preserve"> Tačiau neįgaliųjų įdarbinimo po profesinės reabilitacijos rodikliai Lietuvoje yra vieni geriausių ir siekia net 61 proc.</w:t>
      </w:r>
    </w:p>
    <w:p w:rsidR="00B369B1" w:rsidRDefault="00B369B1" w:rsidP="00007A54">
      <w:pPr>
        <w:tabs>
          <w:tab w:val="left" w:pos="0"/>
          <w:tab w:val="left" w:pos="851"/>
          <w:tab w:val="left" w:pos="6481"/>
          <w:tab w:val="left" w:pos="7777"/>
          <w:tab w:val="left" w:pos="9072"/>
          <w:tab w:val="left" w:pos="10335"/>
        </w:tabs>
        <w:suppressAutoHyphens/>
        <w:ind w:firstLine="567"/>
        <w:jc w:val="both"/>
        <w:rPr>
          <w:rFonts w:ascii="Times New Roman" w:hAnsi="Times New Roman"/>
          <w:sz w:val="24"/>
          <w:szCs w:val="24"/>
          <w:lang w:val="lt-LT" w:eastAsia="lt-LT"/>
        </w:rPr>
      </w:pPr>
    </w:p>
    <w:tbl>
      <w:tblPr>
        <w:tblW w:w="9751" w:type="dxa"/>
        <w:tblInd w:w="108" w:type="dxa"/>
        <w:tblCellMar>
          <w:left w:w="0" w:type="dxa"/>
          <w:right w:w="0" w:type="dxa"/>
        </w:tblCellMar>
        <w:tblLook w:val="04A0"/>
      </w:tblPr>
      <w:tblGrid>
        <w:gridCol w:w="1748"/>
        <w:gridCol w:w="3937"/>
        <w:gridCol w:w="4066"/>
      </w:tblGrid>
      <w:tr w:rsidR="00B369B1" w:rsidRPr="00D64012" w:rsidTr="00062E94">
        <w:trPr>
          <w:trHeight w:val="634"/>
        </w:trPr>
        <w:tc>
          <w:tcPr>
            <w:tcW w:w="1748" w:type="dxa"/>
            <w:tcBorders>
              <w:top w:val="single" w:sz="4" w:space="0" w:color="70AD47" w:themeColor="accent6"/>
              <w:left w:val="single" w:sz="4" w:space="0" w:color="70AD47" w:themeColor="accent6"/>
              <w:bottom w:val="single" w:sz="4" w:space="0" w:color="70AD47" w:themeColor="accent6"/>
              <w:right w:val="nil"/>
            </w:tcBorders>
            <w:shd w:val="clear" w:color="auto" w:fill="92D050"/>
            <w:tcMar>
              <w:top w:w="15" w:type="dxa"/>
              <w:left w:w="108" w:type="dxa"/>
              <w:bottom w:w="0" w:type="dxa"/>
              <w:right w:w="108" w:type="dxa"/>
            </w:tcMar>
            <w:hideMark/>
          </w:tcPr>
          <w:p w:rsidR="00B369B1" w:rsidRPr="00D64012" w:rsidRDefault="00B369B1" w:rsidP="00143EE6">
            <w:pPr>
              <w:jc w:val="both"/>
              <w:rPr>
                <w:sz w:val="24"/>
                <w:szCs w:val="24"/>
                <w:lang w:val="lt-LT"/>
              </w:rPr>
            </w:pPr>
            <w:r w:rsidRPr="00D64012">
              <w:rPr>
                <w:sz w:val="24"/>
                <w:szCs w:val="24"/>
                <w:lang w:val="lt-LT"/>
              </w:rPr>
              <w:t>Šalis</w:t>
            </w:r>
          </w:p>
        </w:tc>
        <w:tc>
          <w:tcPr>
            <w:tcW w:w="3937" w:type="dxa"/>
            <w:tcBorders>
              <w:top w:val="single" w:sz="4" w:space="0" w:color="70AD47" w:themeColor="accent6"/>
              <w:left w:val="nil"/>
              <w:bottom w:val="single" w:sz="4" w:space="0" w:color="70AD47" w:themeColor="accent6"/>
              <w:right w:val="nil"/>
            </w:tcBorders>
            <w:shd w:val="clear" w:color="auto" w:fill="92D050"/>
          </w:tcPr>
          <w:p w:rsidR="00B369B1" w:rsidRPr="00D64012" w:rsidRDefault="00B369B1" w:rsidP="006C7B10">
            <w:pPr>
              <w:jc w:val="center"/>
              <w:rPr>
                <w:sz w:val="24"/>
                <w:szCs w:val="24"/>
                <w:lang w:val="lt-LT"/>
              </w:rPr>
            </w:pPr>
            <w:r w:rsidRPr="00D64012">
              <w:rPr>
                <w:sz w:val="24"/>
                <w:szCs w:val="24"/>
                <w:lang w:val="lt-LT"/>
              </w:rPr>
              <w:t>Maksimali profesinės reabilitacijos trukmė</w:t>
            </w:r>
          </w:p>
        </w:tc>
        <w:tc>
          <w:tcPr>
            <w:tcW w:w="4066" w:type="dxa"/>
            <w:tcBorders>
              <w:top w:val="single" w:sz="4" w:space="0" w:color="70AD47" w:themeColor="accent6"/>
              <w:left w:val="nil"/>
              <w:bottom w:val="single" w:sz="4" w:space="0" w:color="70AD47" w:themeColor="accent6"/>
              <w:right w:val="single" w:sz="4" w:space="0" w:color="70AD47" w:themeColor="accent6"/>
            </w:tcBorders>
            <w:shd w:val="clear" w:color="auto" w:fill="92D050"/>
          </w:tcPr>
          <w:p w:rsidR="00B369B1" w:rsidRPr="00D64012" w:rsidRDefault="00B369B1" w:rsidP="00B369B1">
            <w:pPr>
              <w:jc w:val="center"/>
              <w:rPr>
                <w:sz w:val="24"/>
                <w:szCs w:val="24"/>
                <w:lang w:val="lt-LT"/>
              </w:rPr>
            </w:pPr>
            <w:r>
              <w:rPr>
                <w:sz w:val="24"/>
                <w:szCs w:val="24"/>
                <w:lang w:val="lt-LT"/>
              </w:rPr>
              <w:t>Įdarbinimo rodiklis (2013 m.)</w:t>
            </w:r>
          </w:p>
        </w:tc>
      </w:tr>
      <w:tr w:rsidR="006C7B10" w:rsidRPr="00D64012" w:rsidTr="00062E94">
        <w:trPr>
          <w:trHeight w:val="394"/>
        </w:trPr>
        <w:tc>
          <w:tcPr>
            <w:tcW w:w="1748" w:type="dxa"/>
            <w:tcBorders>
              <w:top w:val="single" w:sz="4" w:space="0" w:color="70AD47" w:themeColor="accent6"/>
              <w:left w:val="single" w:sz="4" w:space="0" w:color="70AD47" w:themeColor="accent6"/>
              <w:bottom w:val="single" w:sz="4" w:space="0" w:color="70AD47" w:themeColor="accent6"/>
              <w:right w:val="nil"/>
            </w:tcBorders>
            <w:shd w:val="clear" w:color="auto" w:fill="auto"/>
            <w:tcMar>
              <w:top w:w="15" w:type="dxa"/>
              <w:left w:w="108" w:type="dxa"/>
              <w:bottom w:w="0" w:type="dxa"/>
              <w:right w:w="108" w:type="dxa"/>
            </w:tcMar>
            <w:hideMark/>
          </w:tcPr>
          <w:p w:rsidR="006C7B10" w:rsidRPr="00D64012" w:rsidRDefault="006C7B10" w:rsidP="0018413B">
            <w:pPr>
              <w:jc w:val="both"/>
              <w:rPr>
                <w:sz w:val="24"/>
                <w:szCs w:val="24"/>
                <w:lang w:val="lt-LT"/>
              </w:rPr>
            </w:pPr>
            <w:r w:rsidRPr="00D64012">
              <w:rPr>
                <w:sz w:val="24"/>
                <w:szCs w:val="24"/>
                <w:lang w:val="lt-LT"/>
              </w:rPr>
              <w:t>Lietuva</w:t>
            </w:r>
          </w:p>
        </w:tc>
        <w:tc>
          <w:tcPr>
            <w:tcW w:w="3937" w:type="dxa"/>
            <w:tcBorders>
              <w:top w:val="single" w:sz="4" w:space="0" w:color="70AD47" w:themeColor="accent6"/>
              <w:left w:val="nil"/>
              <w:bottom w:val="single" w:sz="4" w:space="0" w:color="70AD47" w:themeColor="accent6"/>
              <w:right w:val="nil"/>
            </w:tcBorders>
          </w:tcPr>
          <w:p w:rsidR="006C7B10" w:rsidRPr="00D64012" w:rsidRDefault="006C7B10" w:rsidP="0018413B">
            <w:pPr>
              <w:jc w:val="center"/>
              <w:rPr>
                <w:sz w:val="24"/>
                <w:szCs w:val="24"/>
                <w:lang w:val="lt-LT"/>
              </w:rPr>
            </w:pPr>
            <w:r w:rsidRPr="00D64012">
              <w:rPr>
                <w:sz w:val="24"/>
                <w:szCs w:val="24"/>
                <w:lang w:val="lt-LT"/>
              </w:rPr>
              <w:t>12 mėn.</w:t>
            </w:r>
          </w:p>
        </w:tc>
        <w:tc>
          <w:tcPr>
            <w:tcW w:w="4066" w:type="dxa"/>
            <w:tcBorders>
              <w:top w:val="single" w:sz="4" w:space="0" w:color="70AD47" w:themeColor="accent6"/>
              <w:left w:val="nil"/>
              <w:bottom w:val="single" w:sz="4" w:space="0" w:color="70AD47" w:themeColor="accent6"/>
              <w:right w:val="single" w:sz="4" w:space="0" w:color="70AD47" w:themeColor="accent6"/>
            </w:tcBorders>
          </w:tcPr>
          <w:p w:rsidR="006C7B10" w:rsidRPr="00D64012" w:rsidRDefault="006C7B10" w:rsidP="0018413B">
            <w:pPr>
              <w:jc w:val="center"/>
              <w:rPr>
                <w:sz w:val="24"/>
                <w:szCs w:val="24"/>
                <w:lang w:val="lt-LT"/>
              </w:rPr>
            </w:pPr>
            <w:r w:rsidRPr="00BD43E4">
              <w:rPr>
                <w:rFonts w:ascii="Times New Roman" w:hAnsi="Times New Roman"/>
                <w:sz w:val="24"/>
                <w:szCs w:val="24"/>
              </w:rPr>
              <w:t>61 proc.</w:t>
            </w:r>
          </w:p>
        </w:tc>
      </w:tr>
      <w:tr w:rsidR="006C7B10" w:rsidRPr="00D64012" w:rsidTr="00062E94">
        <w:trPr>
          <w:trHeight w:val="394"/>
        </w:trPr>
        <w:tc>
          <w:tcPr>
            <w:tcW w:w="1748" w:type="dxa"/>
            <w:tcBorders>
              <w:top w:val="single" w:sz="4" w:space="0" w:color="70AD47" w:themeColor="accent6"/>
              <w:left w:val="single" w:sz="4" w:space="0" w:color="70AD47" w:themeColor="accent6"/>
              <w:bottom w:val="single" w:sz="4" w:space="0" w:color="70AD47" w:themeColor="accent6"/>
              <w:right w:val="nil"/>
            </w:tcBorders>
            <w:shd w:val="clear" w:color="auto" w:fill="auto"/>
            <w:tcMar>
              <w:top w:w="15" w:type="dxa"/>
              <w:left w:w="108" w:type="dxa"/>
              <w:bottom w:w="0" w:type="dxa"/>
              <w:right w:w="108" w:type="dxa"/>
            </w:tcMar>
            <w:hideMark/>
          </w:tcPr>
          <w:p w:rsidR="006C7B10" w:rsidRPr="00D64012" w:rsidRDefault="006C7B10" w:rsidP="00143EE6">
            <w:pPr>
              <w:jc w:val="both"/>
              <w:rPr>
                <w:sz w:val="24"/>
                <w:szCs w:val="24"/>
                <w:lang w:val="lt-LT"/>
              </w:rPr>
            </w:pPr>
            <w:r w:rsidRPr="00D64012">
              <w:rPr>
                <w:sz w:val="24"/>
                <w:szCs w:val="24"/>
                <w:lang w:val="lt-LT"/>
              </w:rPr>
              <w:t>Prancūzija</w:t>
            </w:r>
          </w:p>
        </w:tc>
        <w:tc>
          <w:tcPr>
            <w:tcW w:w="3937" w:type="dxa"/>
            <w:tcBorders>
              <w:top w:val="single" w:sz="4" w:space="0" w:color="70AD47" w:themeColor="accent6"/>
              <w:left w:val="nil"/>
              <w:bottom w:val="single" w:sz="4" w:space="0" w:color="70AD47" w:themeColor="accent6"/>
              <w:right w:val="nil"/>
            </w:tcBorders>
          </w:tcPr>
          <w:p w:rsidR="006C7B10" w:rsidRPr="00D64012" w:rsidRDefault="006C7B10" w:rsidP="00B369B1">
            <w:pPr>
              <w:jc w:val="center"/>
              <w:rPr>
                <w:sz w:val="24"/>
                <w:szCs w:val="24"/>
                <w:lang w:val="lt-LT"/>
              </w:rPr>
            </w:pPr>
            <w:r w:rsidRPr="00D64012">
              <w:rPr>
                <w:sz w:val="24"/>
                <w:szCs w:val="24"/>
                <w:lang w:val="lt-LT"/>
              </w:rPr>
              <w:t>24 mėn.</w:t>
            </w:r>
          </w:p>
        </w:tc>
        <w:tc>
          <w:tcPr>
            <w:tcW w:w="4066" w:type="dxa"/>
            <w:tcBorders>
              <w:top w:val="single" w:sz="4" w:space="0" w:color="70AD47" w:themeColor="accent6"/>
              <w:left w:val="nil"/>
              <w:bottom w:val="single" w:sz="4" w:space="0" w:color="70AD47" w:themeColor="accent6"/>
              <w:right w:val="single" w:sz="4" w:space="0" w:color="70AD47" w:themeColor="accent6"/>
            </w:tcBorders>
          </w:tcPr>
          <w:p w:rsidR="006C7B10" w:rsidRPr="00D64012" w:rsidRDefault="006C7B10" w:rsidP="00B369B1">
            <w:pPr>
              <w:jc w:val="center"/>
              <w:rPr>
                <w:sz w:val="24"/>
                <w:szCs w:val="24"/>
                <w:lang w:val="lt-LT"/>
              </w:rPr>
            </w:pPr>
            <w:r w:rsidRPr="00BD43E4">
              <w:rPr>
                <w:rFonts w:ascii="Times New Roman" w:hAnsi="Times New Roman"/>
                <w:sz w:val="24"/>
                <w:szCs w:val="24"/>
              </w:rPr>
              <w:t>53 proc.</w:t>
            </w:r>
          </w:p>
        </w:tc>
      </w:tr>
      <w:tr w:rsidR="006C7B10" w:rsidRPr="00D64012" w:rsidTr="00062E94">
        <w:trPr>
          <w:trHeight w:val="386"/>
        </w:trPr>
        <w:tc>
          <w:tcPr>
            <w:tcW w:w="1748" w:type="dxa"/>
            <w:tcBorders>
              <w:top w:val="single" w:sz="4" w:space="0" w:color="70AD47" w:themeColor="accent6"/>
              <w:left w:val="single" w:sz="4" w:space="0" w:color="70AD47" w:themeColor="accent6"/>
              <w:bottom w:val="single" w:sz="4" w:space="0" w:color="70AD47" w:themeColor="accent6"/>
              <w:right w:val="nil"/>
            </w:tcBorders>
            <w:shd w:val="clear" w:color="auto" w:fill="auto"/>
            <w:tcMar>
              <w:top w:w="15" w:type="dxa"/>
              <w:left w:w="108" w:type="dxa"/>
              <w:bottom w:w="0" w:type="dxa"/>
              <w:right w:w="108" w:type="dxa"/>
            </w:tcMar>
            <w:hideMark/>
          </w:tcPr>
          <w:p w:rsidR="006C7B10" w:rsidRPr="00D64012" w:rsidRDefault="006C7B10" w:rsidP="00143EE6">
            <w:pPr>
              <w:jc w:val="both"/>
              <w:rPr>
                <w:sz w:val="24"/>
                <w:szCs w:val="24"/>
                <w:lang w:val="lt-LT"/>
              </w:rPr>
            </w:pPr>
            <w:r w:rsidRPr="00D64012">
              <w:rPr>
                <w:sz w:val="24"/>
                <w:szCs w:val="24"/>
                <w:lang w:val="lt-LT"/>
              </w:rPr>
              <w:t>Norvegija</w:t>
            </w:r>
          </w:p>
        </w:tc>
        <w:tc>
          <w:tcPr>
            <w:tcW w:w="3937" w:type="dxa"/>
            <w:tcBorders>
              <w:top w:val="single" w:sz="4" w:space="0" w:color="70AD47" w:themeColor="accent6"/>
              <w:left w:val="nil"/>
              <w:bottom w:val="single" w:sz="4" w:space="0" w:color="70AD47" w:themeColor="accent6"/>
              <w:right w:val="nil"/>
            </w:tcBorders>
          </w:tcPr>
          <w:p w:rsidR="006C7B10" w:rsidRPr="00D64012" w:rsidRDefault="006C7B10" w:rsidP="00B369B1">
            <w:pPr>
              <w:jc w:val="center"/>
              <w:rPr>
                <w:sz w:val="24"/>
                <w:szCs w:val="24"/>
                <w:lang w:val="lt-LT"/>
              </w:rPr>
            </w:pPr>
            <w:r w:rsidRPr="00D64012">
              <w:rPr>
                <w:sz w:val="24"/>
                <w:szCs w:val="24"/>
                <w:lang w:val="lt-LT"/>
              </w:rPr>
              <w:t>36 mėn.</w:t>
            </w:r>
          </w:p>
        </w:tc>
        <w:tc>
          <w:tcPr>
            <w:tcW w:w="4066" w:type="dxa"/>
            <w:tcBorders>
              <w:top w:val="single" w:sz="4" w:space="0" w:color="70AD47" w:themeColor="accent6"/>
              <w:left w:val="nil"/>
              <w:bottom w:val="single" w:sz="4" w:space="0" w:color="70AD47" w:themeColor="accent6"/>
              <w:right w:val="single" w:sz="4" w:space="0" w:color="70AD47" w:themeColor="accent6"/>
            </w:tcBorders>
          </w:tcPr>
          <w:p w:rsidR="006C7B10" w:rsidRPr="00D64012" w:rsidRDefault="006C7B10" w:rsidP="00B369B1">
            <w:pPr>
              <w:jc w:val="center"/>
              <w:rPr>
                <w:sz w:val="24"/>
                <w:szCs w:val="24"/>
                <w:lang w:val="lt-LT"/>
              </w:rPr>
            </w:pPr>
            <w:r w:rsidRPr="00BD43E4">
              <w:rPr>
                <w:rFonts w:ascii="Times New Roman" w:hAnsi="Times New Roman"/>
                <w:sz w:val="24"/>
                <w:szCs w:val="24"/>
              </w:rPr>
              <w:t>45 proc.</w:t>
            </w:r>
          </w:p>
        </w:tc>
      </w:tr>
      <w:tr w:rsidR="006C7B10" w:rsidRPr="00D64012" w:rsidTr="00062E94">
        <w:trPr>
          <w:trHeight w:val="384"/>
        </w:trPr>
        <w:tc>
          <w:tcPr>
            <w:tcW w:w="1748" w:type="dxa"/>
            <w:tcBorders>
              <w:top w:val="single" w:sz="4" w:space="0" w:color="70AD47" w:themeColor="accent6"/>
              <w:left w:val="single" w:sz="4" w:space="0" w:color="70AD47" w:themeColor="accent6"/>
              <w:bottom w:val="single" w:sz="4" w:space="0" w:color="70AD47" w:themeColor="accent6"/>
              <w:right w:val="nil"/>
            </w:tcBorders>
            <w:shd w:val="clear" w:color="auto" w:fill="auto"/>
            <w:tcMar>
              <w:top w:w="15" w:type="dxa"/>
              <w:left w:w="108" w:type="dxa"/>
              <w:bottom w:w="0" w:type="dxa"/>
              <w:right w:w="108" w:type="dxa"/>
            </w:tcMar>
            <w:hideMark/>
          </w:tcPr>
          <w:p w:rsidR="006C7B10" w:rsidRPr="006C7B10" w:rsidRDefault="006C7B10" w:rsidP="00143EE6">
            <w:pPr>
              <w:jc w:val="both"/>
              <w:rPr>
                <w:sz w:val="24"/>
                <w:szCs w:val="24"/>
                <w:lang w:val="lt-LT"/>
              </w:rPr>
            </w:pPr>
            <w:r w:rsidRPr="006C7B10">
              <w:rPr>
                <w:sz w:val="24"/>
                <w:szCs w:val="24"/>
                <w:lang w:val="lt-LT"/>
              </w:rPr>
              <w:t>Slovėnija</w:t>
            </w:r>
          </w:p>
        </w:tc>
        <w:tc>
          <w:tcPr>
            <w:tcW w:w="3937" w:type="dxa"/>
            <w:tcBorders>
              <w:top w:val="single" w:sz="4" w:space="0" w:color="70AD47" w:themeColor="accent6"/>
              <w:left w:val="nil"/>
              <w:bottom w:val="single" w:sz="4" w:space="0" w:color="70AD47" w:themeColor="accent6"/>
              <w:right w:val="nil"/>
            </w:tcBorders>
          </w:tcPr>
          <w:p w:rsidR="006C7B10" w:rsidRPr="006C7B10" w:rsidRDefault="006C7B10" w:rsidP="00B369B1">
            <w:pPr>
              <w:jc w:val="center"/>
              <w:rPr>
                <w:sz w:val="24"/>
                <w:szCs w:val="24"/>
                <w:lang w:val="lt-LT"/>
              </w:rPr>
            </w:pPr>
            <w:r w:rsidRPr="006C7B10">
              <w:rPr>
                <w:sz w:val="24"/>
                <w:szCs w:val="24"/>
                <w:lang w:val="lt-LT"/>
              </w:rPr>
              <w:t>24 mėn.</w:t>
            </w:r>
          </w:p>
        </w:tc>
        <w:tc>
          <w:tcPr>
            <w:tcW w:w="4066" w:type="dxa"/>
            <w:tcBorders>
              <w:top w:val="single" w:sz="4" w:space="0" w:color="70AD47" w:themeColor="accent6"/>
              <w:left w:val="nil"/>
              <w:bottom w:val="single" w:sz="4" w:space="0" w:color="70AD47" w:themeColor="accent6"/>
              <w:right w:val="single" w:sz="4" w:space="0" w:color="70AD47" w:themeColor="accent6"/>
            </w:tcBorders>
          </w:tcPr>
          <w:p w:rsidR="006C7B10" w:rsidRPr="00143EE6" w:rsidRDefault="006C7B10" w:rsidP="00B369B1">
            <w:pPr>
              <w:jc w:val="center"/>
              <w:rPr>
                <w:color w:val="FF0000"/>
                <w:sz w:val="24"/>
                <w:szCs w:val="24"/>
                <w:lang w:val="lt-LT"/>
              </w:rPr>
            </w:pPr>
            <w:r w:rsidRPr="00BD43E4">
              <w:rPr>
                <w:rFonts w:ascii="Times New Roman" w:hAnsi="Times New Roman"/>
                <w:sz w:val="24"/>
                <w:szCs w:val="24"/>
              </w:rPr>
              <w:t>29 proc.</w:t>
            </w:r>
          </w:p>
        </w:tc>
      </w:tr>
    </w:tbl>
    <w:p w:rsidR="00B369B1" w:rsidRPr="00D53B9C" w:rsidRDefault="00B369B1" w:rsidP="00007A54">
      <w:pPr>
        <w:tabs>
          <w:tab w:val="left" w:pos="0"/>
          <w:tab w:val="left" w:pos="851"/>
          <w:tab w:val="left" w:pos="6481"/>
          <w:tab w:val="left" w:pos="7777"/>
          <w:tab w:val="left" w:pos="9072"/>
          <w:tab w:val="left" w:pos="10335"/>
        </w:tabs>
        <w:suppressAutoHyphens/>
        <w:ind w:firstLine="567"/>
        <w:jc w:val="both"/>
        <w:rPr>
          <w:rFonts w:ascii="Times New Roman" w:hAnsi="Times New Roman"/>
          <w:sz w:val="24"/>
          <w:szCs w:val="24"/>
          <w:lang w:val="lt-LT" w:eastAsia="lt-LT"/>
        </w:rPr>
      </w:pP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bCs/>
          <w:sz w:val="24"/>
          <w:szCs w:val="24"/>
          <w:lang w:val="lt-LT" w:eastAsia="lt-LT"/>
        </w:rPr>
      </w:pPr>
      <w:r w:rsidRPr="00D53B9C">
        <w:rPr>
          <w:rFonts w:ascii="Times New Roman" w:hAnsi="Times New Roman"/>
          <w:bCs/>
          <w:sz w:val="24"/>
          <w:szCs w:val="24"/>
          <w:lang w:val="lt-LT" w:eastAsia="lt-LT"/>
        </w:rPr>
        <w:t>Profesinės reabilitacijos paslaugų kokybei užtikrinti kitose Europos šalyse yra skiriamas ypač didelis dėmesys. Norvegijoje patvirtinti Nacionaliniai kokybės standartai, kurie reglamentuoja reikalavimus paslaugoms, užtikrina teikiamų paslaugų kokybės priežiūrą ir įvertinimą. Paslaugas teikiančios įstaigos privalo atitikti standartų reikalavimus.</w:t>
      </w:r>
      <w:r w:rsidRPr="00D53B9C">
        <w:rPr>
          <w:bCs/>
          <w:sz w:val="24"/>
          <w:szCs w:val="24"/>
          <w:lang w:val="lt-LT" w:eastAsia="lt-LT"/>
        </w:rPr>
        <w:t xml:space="preserve"> Nuo to, kokiu mastu paslaugų teikėjas atitinka standarto reikalavimus, priklauso įstaigos finansavimas.</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bCs/>
          <w:sz w:val="24"/>
          <w:szCs w:val="24"/>
          <w:lang w:val="lt-LT" w:eastAsia="lt-LT"/>
        </w:rPr>
        <w:t xml:space="preserve">Prancūzijoje patvirtinti dveji profesinės reabilitacijos paslaugų standartai, apimantys reikalavimus profesinių gebėjimų įvertinimo ir profesinio mokymo paslaugų teikimui. Standartuose </w:t>
      </w:r>
      <w:r w:rsidRPr="00D53B9C">
        <w:rPr>
          <w:rFonts w:ascii="Times New Roman" w:hAnsi="Times New Roman"/>
          <w:bCs/>
          <w:sz w:val="24"/>
          <w:szCs w:val="24"/>
          <w:lang w:val="lt-LT" w:eastAsia="lt-LT"/>
        </w:rPr>
        <w:lastRenderedPageBreak/>
        <w:t xml:space="preserve">nustatyta, kad įstaigos, teikiančios profesinės reabilitacijos paslaugas turi laikytis medicininio – psichosocialinio įvertinimo principų, privalo turėti atitinkamą, neįgaliesiems pritaikytą įrangą ir aplinką, kvalifikuotą tarpdisciplininę komandą, turinčią reikiamų žinių bei įgūdžių teikiant šias paslaugas skirtingą negalią turintiems asmenims. </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bCs/>
          <w:sz w:val="24"/>
          <w:szCs w:val="24"/>
          <w:lang w:val="lt-LT" w:eastAsia="lt-LT"/>
        </w:rPr>
        <w:t>Slovėnijoje patvirtinti neįgaliųjų profesinės reabilitacijos ir įdarbinimo standartai. Standartai reglamentuoja profesinės reabilitacijos paslaugų turinį, paslaugų teikimo metodus, nustato reikalavimus profesinės reabilitacijos paslaugas teikiantiems specialistams, jų kvalifikacijai, paslaugų teikimo metu naudojamai įrangai, aplinkos pritaikymui. Šie standartai yra privalomi profesinės reabilitacijos paslaugas teikiančioms įstaigoms.</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bCs/>
          <w:sz w:val="24"/>
          <w:szCs w:val="24"/>
          <w:lang w:val="lt-LT" w:eastAsia="lt-LT"/>
        </w:rPr>
        <w:t>Vis daugiau paslaugas socialiniame sektoriuje teikiančių organizacijų kitose šalyse siekia atitikti vieningus reikalavimus, keliamus socialinių, taip pat ir profesinės reabilitacijos paslaugų teikimo kokybei visoje Europoje, todėl vis daugiau šias paslaugas teikiančių įstaigų ar organizacijų įvairiose Europos šalyse aktyviai diegia tarptautiniu mastu pripažintas kokybės sistemas - dažniausiai diegiama EQU</w:t>
      </w:r>
      <w:r w:rsidR="00723C53">
        <w:rPr>
          <w:rFonts w:ascii="Times New Roman" w:hAnsi="Times New Roman"/>
          <w:bCs/>
          <w:sz w:val="24"/>
          <w:szCs w:val="24"/>
          <w:lang w:val="lt-LT" w:eastAsia="lt-LT"/>
        </w:rPr>
        <w:t>ASS (</w:t>
      </w:r>
      <w:proofErr w:type="spellStart"/>
      <w:r w:rsidR="00723C53">
        <w:rPr>
          <w:rFonts w:ascii="Times New Roman" w:hAnsi="Times New Roman"/>
          <w:bCs/>
          <w:sz w:val="24"/>
          <w:szCs w:val="24"/>
          <w:lang w:val="lt-LT" w:eastAsia="lt-LT"/>
        </w:rPr>
        <w:t>European</w:t>
      </w:r>
      <w:proofErr w:type="spellEnd"/>
      <w:r w:rsidR="00723C53">
        <w:rPr>
          <w:rFonts w:ascii="Times New Roman" w:hAnsi="Times New Roman"/>
          <w:bCs/>
          <w:sz w:val="24"/>
          <w:szCs w:val="24"/>
          <w:lang w:val="lt-LT" w:eastAsia="lt-LT"/>
        </w:rPr>
        <w:t xml:space="preserve"> </w:t>
      </w:r>
      <w:proofErr w:type="spellStart"/>
      <w:r w:rsidR="00723C53">
        <w:rPr>
          <w:rFonts w:ascii="Times New Roman" w:hAnsi="Times New Roman"/>
          <w:bCs/>
          <w:sz w:val="24"/>
          <w:szCs w:val="24"/>
          <w:lang w:val="lt-LT" w:eastAsia="lt-LT"/>
        </w:rPr>
        <w:t>Quality</w:t>
      </w:r>
      <w:proofErr w:type="spellEnd"/>
      <w:r w:rsidR="00723C53">
        <w:rPr>
          <w:rFonts w:ascii="Times New Roman" w:hAnsi="Times New Roman"/>
          <w:bCs/>
          <w:sz w:val="24"/>
          <w:szCs w:val="24"/>
          <w:lang w:val="lt-LT" w:eastAsia="lt-LT"/>
        </w:rPr>
        <w:t xml:space="preserve"> </w:t>
      </w:r>
      <w:proofErr w:type="spellStart"/>
      <w:r w:rsidR="00723C53">
        <w:rPr>
          <w:rFonts w:ascii="Times New Roman" w:hAnsi="Times New Roman"/>
          <w:bCs/>
          <w:sz w:val="24"/>
          <w:szCs w:val="24"/>
          <w:lang w:val="lt-LT" w:eastAsia="lt-LT"/>
        </w:rPr>
        <w:t>in</w:t>
      </w:r>
      <w:proofErr w:type="spellEnd"/>
      <w:r w:rsidR="00723C53">
        <w:rPr>
          <w:rFonts w:ascii="Times New Roman" w:hAnsi="Times New Roman"/>
          <w:bCs/>
          <w:sz w:val="24"/>
          <w:szCs w:val="24"/>
          <w:lang w:val="lt-LT" w:eastAsia="lt-LT"/>
        </w:rPr>
        <w:t xml:space="preserve"> </w:t>
      </w:r>
      <w:proofErr w:type="spellStart"/>
      <w:r w:rsidR="00723C53">
        <w:rPr>
          <w:rFonts w:ascii="Times New Roman" w:hAnsi="Times New Roman"/>
          <w:bCs/>
          <w:sz w:val="24"/>
          <w:szCs w:val="24"/>
          <w:lang w:val="lt-LT" w:eastAsia="lt-LT"/>
        </w:rPr>
        <w:t>Social</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Services</w:t>
      </w:r>
      <w:proofErr w:type="spellEnd"/>
      <w:r w:rsidRPr="00D53B9C">
        <w:rPr>
          <w:rFonts w:ascii="Times New Roman" w:hAnsi="Times New Roman"/>
          <w:bCs/>
          <w:sz w:val="24"/>
          <w:szCs w:val="24"/>
          <w:lang w:val="lt-LT" w:eastAsia="lt-LT"/>
        </w:rPr>
        <w:t>) kokybės sistema, pripažinta kaip labiausiai tinkanti socialiniame sektoriuje teikiamų paslaugų kokybei užtikrinti bei geriausiai atliepianti socialinių paslaugų gavėjų poreikius. Tarptautinių standartų diegimą Norvegijoje, Slovėnijoje, Portugalijoje, Estijoje ir kitose šalyse aktyviai palaiko bei skatina šių šalių vyriausybės.</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bCs/>
          <w:sz w:val="24"/>
          <w:szCs w:val="24"/>
          <w:lang w:val="lt-LT" w:eastAsia="lt-LT"/>
        </w:rPr>
        <w:t xml:space="preserve">Teisę teikti profesinės reabilitacijos paslaugas Norvegijoje įstaigos įgyja, gaudamos šių paslaugų teikimo licenciją, kurią trejiems metams išduoda institucija NAV (angl. </w:t>
      </w:r>
      <w:proofErr w:type="spellStart"/>
      <w:r w:rsidRPr="00D53B9C">
        <w:rPr>
          <w:rFonts w:ascii="Times New Roman" w:hAnsi="Times New Roman"/>
          <w:bCs/>
          <w:sz w:val="24"/>
          <w:szCs w:val="24"/>
          <w:lang w:val="lt-LT" w:eastAsia="lt-LT"/>
        </w:rPr>
        <w:t>The</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Norwegian</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Labour</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and</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Welfare</w:t>
      </w:r>
      <w:proofErr w:type="spellEnd"/>
      <w:r w:rsidRPr="00D53B9C">
        <w:rPr>
          <w:rFonts w:ascii="Times New Roman" w:hAnsi="Times New Roman"/>
          <w:bCs/>
          <w:sz w:val="24"/>
          <w:szCs w:val="24"/>
          <w:lang w:val="lt-LT" w:eastAsia="lt-LT"/>
        </w:rPr>
        <w:t xml:space="preserve"> </w:t>
      </w:r>
      <w:proofErr w:type="spellStart"/>
      <w:r w:rsidRPr="00D53B9C">
        <w:rPr>
          <w:rFonts w:ascii="Times New Roman" w:hAnsi="Times New Roman"/>
          <w:bCs/>
          <w:sz w:val="24"/>
          <w:szCs w:val="24"/>
          <w:lang w:val="lt-LT" w:eastAsia="lt-LT"/>
        </w:rPr>
        <w:t>Service</w:t>
      </w:r>
      <w:proofErr w:type="spellEnd"/>
      <w:r w:rsidRPr="00D53B9C">
        <w:rPr>
          <w:rFonts w:ascii="Times New Roman" w:hAnsi="Times New Roman"/>
          <w:bCs/>
          <w:sz w:val="24"/>
          <w:szCs w:val="24"/>
          <w:lang w:val="lt-LT" w:eastAsia="lt-LT"/>
        </w:rPr>
        <w:t xml:space="preserve">), koordinuojanti ir kontroliuojanti visą profesinės reabilitacijos paslaugų teikimą bei siunčianti asmenis į profesinės reabilitacijos programą. NAV taip pat vykdo teikiamų paslaugų kokybės bei atitikimo keliamiems reikalavimams paslaugas teikiančiose </w:t>
      </w:r>
      <w:r w:rsidR="00143EE6">
        <w:rPr>
          <w:rFonts w:ascii="Times New Roman" w:hAnsi="Times New Roman"/>
          <w:bCs/>
          <w:sz w:val="24"/>
          <w:szCs w:val="24"/>
          <w:lang w:val="lt-LT" w:eastAsia="lt-LT"/>
        </w:rPr>
        <w:t>įstaigose stebėseną ir kontrolę.</w:t>
      </w:r>
      <w:r w:rsidRPr="00D53B9C">
        <w:rPr>
          <w:rFonts w:ascii="Times New Roman" w:hAnsi="Times New Roman"/>
          <w:bCs/>
          <w:sz w:val="24"/>
          <w:szCs w:val="24"/>
          <w:lang w:val="lt-LT" w:eastAsia="lt-LT"/>
        </w:rPr>
        <w:t xml:space="preserve"> </w:t>
      </w:r>
      <w:r w:rsidR="00143EE6">
        <w:rPr>
          <w:rFonts w:ascii="Times New Roman" w:hAnsi="Times New Roman"/>
          <w:bCs/>
          <w:sz w:val="24"/>
          <w:szCs w:val="24"/>
          <w:lang w:val="lt-LT" w:eastAsia="lt-LT"/>
        </w:rPr>
        <w:t>Į</w:t>
      </w:r>
      <w:r w:rsidRPr="00D53B9C">
        <w:rPr>
          <w:rFonts w:ascii="Times New Roman" w:hAnsi="Times New Roman"/>
          <w:bCs/>
          <w:sz w:val="24"/>
          <w:szCs w:val="24"/>
          <w:lang w:val="lt-LT" w:eastAsia="lt-LT"/>
        </w:rPr>
        <w:t>staigoms, kurios neatitinka keliamų reikalavimų, licencija yra panaikinama. Slovėnijoje su profesinės reabilitacijos paslaugas norinčiomis teikti įstaigomis, atitinkančiomis joms keliamus reikalavimus, atsakinga institucija pasirašo šių paslaugų teikimo sutartį, kurioje nustatomi įstaigų įsipareigojimai užtikrinti teikiamų paslaugų kokybę. Jeigu įstaiga šių įsipareigojimų nesilaiko, teisę teikti šias paslaugas ji praranda.</w:t>
      </w:r>
    </w:p>
    <w:p w:rsidR="00007A54" w:rsidRPr="00D53B9C" w:rsidRDefault="00007A54" w:rsidP="00007A54">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D53B9C">
        <w:rPr>
          <w:rFonts w:ascii="Times New Roman" w:hAnsi="Times New Roman"/>
          <w:bCs/>
          <w:sz w:val="24"/>
          <w:szCs w:val="24"/>
          <w:lang w:val="lt-LT" w:eastAsia="lt-LT"/>
        </w:rPr>
        <w:t xml:space="preserve">Asmenims, baigusiems profesinės reabilitacijos programą, įsidarbinimo galimybių spektras kitose Europos šalyse yra gana platus. Slovėnijoje ir Prancūzijoje yra gerai išvystyta neįgaliųjų įdarbinimo kvotų sistema, kurios dėka neįgalieji yra įdarbinami tiek privačiame, tiek ir viešajame sektoriuje, užtikrinama ilgalaikė jų integracija į darbo rinką, o surinktomis lėšomis iš darbdavių, nevykdančių kvotų, finansuojamas profesinės reabilitacijos paslaugų teikimas bei kitos, neįgaliesiems skirtos, priemonės. Slovėnijoje šalia kvotų sistemos taikoma ir valstybės parama darbdaviams, įdarbinantiems neįgaliuosius – subsidijos darbo užmokesčiui, darbo vietai įsteigti, premijos darbdaviams, viršijantiems neįgaliųjų įdarbinimo kvotas ir kt. </w:t>
      </w:r>
    </w:p>
    <w:p w:rsidR="00007A54" w:rsidRPr="002224D8" w:rsidRDefault="002224D8" w:rsidP="002224D8">
      <w:pPr>
        <w:tabs>
          <w:tab w:val="left" w:pos="0"/>
          <w:tab w:val="left" w:pos="851"/>
          <w:tab w:val="left" w:pos="6481"/>
          <w:tab w:val="left" w:pos="7777"/>
          <w:tab w:val="left" w:pos="9072"/>
          <w:tab w:val="left" w:pos="10335"/>
        </w:tabs>
        <w:suppressAutoHyphens/>
        <w:ind w:firstLine="567"/>
        <w:jc w:val="both"/>
        <w:rPr>
          <w:rFonts w:ascii="Times New Roman" w:hAnsi="Times New Roman"/>
          <w:bCs/>
          <w:sz w:val="24"/>
          <w:szCs w:val="24"/>
          <w:lang w:val="lt-LT" w:eastAsia="lt-LT"/>
        </w:rPr>
      </w:pPr>
      <w:r w:rsidRPr="002224D8">
        <w:rPr>
          <w:rFonts w:ascii="Times New Roman" w:hAnsi="Times New Roman"/>
          <w:bCs/>
          <w:sz w:val="24"/>
          <w:szCs w:val="24"/>
          <w:lang w:val="lt-LT" w:eastAsia="lt-LT"/>
        </w:rPr>
        <w:t>P</w:t>
      </w:r>
      <w:r w:rsidR="000A2353" w:rsidRPr="002224D8">
        <w:rPr>
          <w:rFonts w:ascii="Times New Roman" w:hAnsi="Times New Roman"/>
          <w:bCs/>
          <w:sz w:val="24"/>
          <w:szCs w:val="24"/>
          <w:lang w:val="lt-LT" w:eastAsia="lt-LT"/>
        </w:rPr>
        <w:t xml:space="preserve">rofesinės reabilitacijos paslaugos yra teikiamos visose Europos Sąjungos šalyse. Ši programa yra viena svarbiausių neįgaliųjų užimtumo didinimo bei </w:t>
      </w:r>
      <w:r w:rsidRPr="002224D8">
        <w:rPr>
          <w:rFonts w:ascii="Times New Roman" w:hAnsi="Times New Roman"/>
          <w:bCs/>
          <w:sz w:val="24"/>
          <w:szCs w:val="24"/>
          <w:lang w:val="lt-LT" w:eastAsia="lt-LT"/>
        </w:rPr>
        <w:t xml:space="preserve">Jungtinių Tautų </w:t>
      </w:r>
      <w:r w:rsidR="00D15D08">
        <w:rPr>
          <w:rFonts w:ascii="Times New Roman" w:hAnsi="Times New Roman"/>
          <w:bCs/>
          <w:sz w:val="24"/>
          <w:szCs w:val="24"/>
          <w:lang w:val="lt-LT" w:eastAsia="lt-LT"/>
        </w:rPr>
        <w:t>o</w:t>
      </w:r>
      <w:r w:rsidRPr="002224D8">
        <w:rPr>
          <w:rFonts w:ascii="Times New Roman" w:hAnsi="Times New Roman"/>
          <w:bCs/>
          <w:sz w:val="24"/>
          <w:szCs w:val="24"/>
          <w:lang w:val="lt-LT" w:eastAsia="lt-LT"/>
        </w:rPr>
        <w:t xml:space="preserve">rganizacijos </w:t>
      </w:r>
      <w:r w:rsidR="00414FF7" w:rsidRPr="002224D8">
        <w:rPr>
          <w:rFonts w:ascii="Times New Roman" w:hAnsi="Times New Roman"/>
          <w:bCs/>
          <w:sz w:val="24"/>
          <w:szCs w:val="24"/>
          <w:lang w:val="lt-LT" w:eastAsia="lt-LT"/>
        </w:rPr>
        <w:t xml:space="preserve"> </w:t>
      </w:r>
      <w:r w:rsidR="000A2353" w:rsidRPr="002224D8">
        <w:rPr>
          <w:rFonts w:ascii="Times New Roman" w:hAnsi="Times New Roman"/>
          <w:bCs/>
          <w:sz w:val="24"/>
          <w:szCs w:val="24"/>
          <w:lang w:val="lt-LT" w:eastAsia="lt-LT"/>
        </w:rPr>
        <w:t xml:space="preserve">Neįgaliųjų teisių konvencijos įgyvendinimo priemonių, todėl </w:t>
      </w:r>
      <w:r w:rsidR="00414FF7" w:rsidRPr="002224D8">
        <w:rPr>
          <w:rFonts w:ascii="Times New Roman" w:hAnsi="Times New Roman"/>
          <w:bCs/>
          <w:sz w:val="24"/>
          <w:szCs w:val="24"/>
          <w:lang w:val="lt-LT" w:eastAsia="lt-LT"/>
        </w:rPr>
        <w:t xml:space="preserve">sėkmingam profesinės reabilitacijos </w:t>
      </w:r>
      <w:r w:rsidR="000A2353" w:rsidRPr="002224D8">
        <w:rPr>
          <w:rFonts w:ascii="Times New Roman" w:hAnsi="Times New Roman"/>
          <w:bCs/>
          <w:sz w:val="24"/>
          <w:szCs w:val="24"/>
          <w:lang w:val="lt-LT" w:eastAsia="lt-LT"/>
        </w:rPr>
        <w:t>programos įgyvendinimui</w:t>
      </w:r>
      <w:r w:rsidR="00414FF7" w:rsidRPr="002224D8">
        <w:rPr>
          <w:rFonts w:ascii="Times New Roman" w:hAnsi="Times New Roman"/>
          <w:bCs/>
          <w:sz w:val="24"/>
          <w:szCs w:val="24"/>
          <w:lang w:val="lt-LT" w:eastAsia="lt-LT"/>
        </w:rPr>
        <w:t xml:space="preserve"> bei šių</w:t>
      </w:r>
      <w:r w:rsidR="000A2353" w:rsidRPr="002224D8">
        <w:rPr>
          <w:rFonts w:ascii="Times New Roman" w:hAnsi="Times New Roman"/>
          <w:bCs/>
          <w:sz w:val="24"/>
          <w:szCs w:val="24"/>
          <w:lang w:val="lt-LT" w:eastAsia="lt-LT"/>
        </w:rPr>
        <w:t xml:space="preserve"> paslaugų kokybės užtikrinimui </w:t>
      </w:r>
      <w:r w:rsidR="00B04DDC" w:rsidRPr="002224D8">
        <w:rPr>
          <w:rFonts w:ascii="Times New Roman" w:hAnsi="Times New Roman"/>
          <w:bCs/>
          <w:sz w:val="24"/>
          <w:szCs w:val="24"/>
          <w:lang w:val="lt-LT" w:eastAsia="lt-LT"/>
        </w:rPr>
        <w:t xml:space="preserve">visoje Europoje </w:t>
      </w:r>
      <w:r w:rsidR="000A2353" w:rsidRPr="002224D8">
        <w:rPr>
          <w:rFonts w:ascii="Times New Roman" w:hAnsi="Times New Roman"/>
          <w:bCs/>
          <w:sz w:val="24"/>
          <w:szCs w:val="24"/>
          <w:lang w:val="lt-LT" w:eastAsia="lt-LT"/>
        </w:rPr>
        <w:t xml:space="preserve">yra skiriamas didelis dėmesys. </w:t>
      </w:r>
    </w:p>
    <w:p w:rsidR="00414FF7" w:rsidRDefault="00414FF7" w:rsidP="00414FF7">
      <w:pPr>
        <w:jc w:val="both"/>
        <w:rPr>
          <w:color w:val="FF0000"/>
          <w:sz w:val="24"/>
          <w:szCs w:val="24"/>
          <w:lang w:val="lt-LT"/>
        </w:rPr>
      </w:pPr>
    </w:p>
    <w:p w:rsidR="00062E94" w:rsidRDefault="00062E94" w:rsidP="00414FF7">
      <w:pPr>
        <w:jc w:val="both"/>
        <w:rPr>
          <w:color w:val="FF0000"/>
          <w:sz w:val="24"/>
          <w:szCs w:val="24"/>
          <w:lang w:val="lt-LT"/>
        </w:rPr>
      </w:pPr>
    </w:p>
    <w:p w:rsidR="00D64012" w:rsidRPr="00723C53" w:rsidRDefault="00723C53" w:rsidP="00414FF7">
      <w:pPr>
        <w:jc w:val="both"/>
        <w:rPr>
          <w:sz w:val="24"/>
          <w:szCs w:val="24"/>
          <w:lang w:val="lt-LT"/>
        </w:rPr>
      </w:pPr>
      <w:r w:rsidRPr="00723C53">
        <w:rPr>
          <w:sz w:val="24"/>
          <w:szCs w:val="24"/>
          <w:lang w:val="lt-LT"/>
        </w:rPr>
        <w:t xml:space="preserve">Parengė </w:t>
      </w:r>
      <w:proofErr w:type="spellStart"/>
      <w:r w:rsidRPr="00723C53">
        <w:rPr>
          <w:sz w:val="24"/>
          <w:szCs w:val="24"/>
          <w:lang w:val="lt-LT"/>
        </w:rPr>
        <w:t>VšĮ</w:t>
      </w:r>
      <w:proofErr w:type="spellEnd"/>
      <w:r w:rsidRPr="00723C53">
        <w:rPr>
          <w:sz w:val="24"/>
          <w:szCs w:val="24"/>
          <w:lang w:val="lt-LT"/>
        </w:rPr>
        <w:t xml:space="preserve"> </w:t>
      </w:r>
      <w:proofErr w:type="spellStart"/>
      <w:r w:rsidRPr="00723C53">
        <w:rPr>
          <w:sz w:val="24"/>
          <w:szCs w:val="24"/>
          <w:lang w:val="lt-LT"/>
        </w:rPr>
        <w:t>Valakupių</w:t>
      </w:r>
      <w:proofErr w:type="spellEnd"/>
      <w:r w:rsidRPr="00723C53">
        <w:rPr>
          <w:sz w:val="24"/>
          <w:szCs w:val="24"/>
          <w:lang w:val="lt-LT"/>
        </w:rPr>
        <w:t xml:space="preserve"> reabilitacijos centras</w:t>
      </w:r>
    </w:p>
    <w:sectPr w:rsidR="00D64012" w:rsidRPr="00723C53" w:rsidSect="00B369B1">
      <w:pgSz w:w="11906" w:h="16838"/>
      <w:pgMar w:top="1701" w:right="567" w:bottom="127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B31"/>
    <w:multiLevelType w:val="multilevel"/>
    <w:tmpl w:val="E12E1E96"/>
    <w:lvl w:ilvl="0">
      <w:start w:val="13"/>
      <w:numFmt w:val="decimal"/>
      <w:lvlText w:val="%1."/>
      <w:lvlJc w:val="left"/>
      <w:pPr>
        <w:ind w:left="720" w:hanging="360"/>
      </w:pPr>
      <w:rPr>
        <w:rFonts w:hint="default"/>
      </w:rPr>
    </w:lvl>
    <w:lvl w:ilvl="1">
      <w:start w:val="1"/>
      <w:numFmt w:val="decimal"/>
      <w:isLgl/>
      <w:lvlText w:val="%1.%2."/>
      <w:lvlJc w:val="left"/>
      <w:pPr>
        <w:ind w:left="1250" w:hanging="540"/>
      </w:pPr>
      <w:rPr>
        <w:rFonts w:hint="default"/>
        <w:b w:val="0"/>
        <w:i w:val="0"/>
      </w:rPr>
    </w:lvl>
    <w:lvl w:ilvl="2">
      <w:start w:val="1"/>
      <w:numFmt w:val="decimal"/>
      <w:isLgl/>
      <w:lvlText w:val="%1.%2.%3."/>
      <w:lvlJc w:val="left"/>
      <w:pPr>
        <w:ind w:left="1516"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53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26" w:hanging="1440"/>
      </w:pPr>
      <w:rPr>
        <w:rFonts w:hint="default"/>
      </w:rPr>
    </w:lvl>
    <w:lvl w:ilvl="8">
      <w:start w:val="1"/>
      <w:numFmt w:val="decimal"/>
      <w:isLgl/>
      <w:lvlText w:val="%1.%2.%3.%4.%5.%6.%7.%8.%9."/>
      <w:lvlJc w:val="left"/>
      <w:pPr>
        <w:ind w:left="390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296"/>
  <w:hyphenationZone w:val="396"/>
  <w:characterSpacingControl w:val="doNotCompress"/>
  <w:compat/>
  <w:rsids>
    <w:rsidRoot w:val="001A3557"/>
    <w:rsid w:val="00007A54"/>
    <w:rsid w:val="00062E94"/>
    <w:rsid w:val="000A2353"/>
    <w:rsid w:val="000B63C3"/>
    <w:rsid w:val="00143EE6"/>
    <w:rsid w:val="00161536"/>
    <w:rsid w:val="001A3557"/>
    <w:rsid w:val="001B12FE"/>
    <w:rsid w:val="001D3D2D"/>
    <w:rsid w:val="002224D8"/>
    <w:rsid w:val="00414FF7"/>
    <w:rsid w:val="00506DB5"/>
    <w:rsid w:val="005401C1"/>
    <w:rsid w:val="005F382A"/>
    <w:rsid w:val="006C7B10"/>
    <w:rsid w:val="006F171F"/>
    <w:rsid w:val="00723C53"/>
    <w:rsid w:val="007A755E"/>
    <w:rsid w:val="00832B17"/>
    <w:rsid w:val="0085668A"/>
    <w:rsid w:val="0087721F"/>
    <w:rsid w:val="00973FA9"/>
    <w:rsid w:val="00B04DDC"/>
    <w:rsid w:val="00B369B1"/>
    <w:rsid w:val="00CF5BD7"/>
    <w:rsid w:val="00D15D08"/>
    <w:rsid w:val="00D64012"/>
    <w:rsid w:val="00E51F84"/>
    <w:rsid w:val="00F472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7A54"/>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1DiagramaDiagramaCharCharDiagramaDiagramaCharChar">
    <w:name w:val="Char Char1 Diagrama Diagrama Char Char Diagrama Diagrama Char Char"/>
    <w:basedOn w:val="prastasis"/>
    <w:rsid w:val="00007A54"/>
    <w:pPr>
      <w:spacing w:after="160" w:line="240" w:lineRule="exact"/>
    </w:pPr>
    <w:rPr>
      <w:rFonts w:ascii="Tahoma" w:hAnsi="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7A54"/>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1DiagramaDiagramaCharCharDiagramaDiagramaCharChar">
    <w:name w:val="Char Char1 Diagrama Diagrama Char Char Diagrama Diagrama Char Char"/>
    <w:basedOn w:val="prastasis"/>
    <w:rsid w:val="00007A54"/>
    <w:pPr>
      <w:spacing w:after="160" w:line="240" w:lineRule="exact"/>
    </w:pPr>
    <w:rPr>
      <w:rFonts w:ascii="Tahoma" w:hAnsi="Tahoma"/>
      <w:lang w:val="en-US"/>
    </w:rPr>
  </w:style>
</w:styles>
</file>

<file path=word/webSettings.xml><?xml version="1.0" encoding="utf-8"?>
<w:webSettings xmlns:r="http://schemas.openxmlformats.org/officeDocument/2006/relationships" xmlns:w="http://schemas.openxmlformats.org/wordprocessingml/2006/main">
  <w:divs>
    <w:div w:id="4055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4468</Words>
  <Characters>2547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 </cp:lastModifiedBy>
  <cp:revision>14</cp:revision>
  <dcterms:created xsi:type="dcterms:W3CDTF">2015-05-26T05:46:00Z</dcterms:created>
  <dcterms:modified xsi:type="dcterms:W3CDTF">2015-05-26T06:39:00Z</dcterms:modified>
</cp:coreProperties>
</file>