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BDF3" w14:textId="16269A74" w:rsidR="00B912A1" w:rsidRDefault="00B912A1" w:rsidP="00B912A1">
      <w:pPr>
        <w:tabs>
          <w:tab w:val="left" w:pos="710"/>
          <w:tab w:val="left" w:pos="993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B912A1">
        <w:rPr>
          <w:rFonts w:ascii="Times New Roman" w:hAnsi="Times New Roman" w:cs="Times New Roman"/>
          <w:b/>
          <w:sz w:val="24"/>
          <w:szCs w:val="24"/>
          <w:lang w:eastAsia="lt-LT"/>
        </w:rPr>
        <w:t>FINANSU</w:t>
      </w:r>
      <w:r w:rsidR="00A761FD">
        <w:rPr>
          <w:rFonts w:ascii="Times New Roman" w:hAnsi="Times New Roman" w:cs="Times New Roman"/>
          <w:b/>
          <w:sz w:val="24"/>
          <w:szCs w:val="24"/>
          <w:lang w:eastAsia="lt-LT"/>
        </w:rPr>
        <w:t>OJAM</w:t>
      </w:r>
      <w:r w:rsidRPr="00B912A1">
        <w:rPr>
          <w:rFonts w:ascii="Times New Roman" w:hAnsi="Times New Roman" w:cs="Times New Roman"/>
          <w:b/>
          <w:sz w:val="24"/>
          <w:szCs w:val="24"/>
          <w:lang w:eastAsia="lt-LT"/>
        </w:rPr>
        <w:t>OS VEIKLOS</w:t>
      </w:r>
    </w:p>
    <w:p w14:paraId="2A009844" w14:textId="77777777" w:rsidR="00B912A1" w:rsidRPr="00B912A1" w:rsidRDefault="00B912A1" w:rsidP="00B912A1">
      <w:pPr>
        <w:tabs>
          <w:tab w:val="left" w:pos="710"/>
          <w:tab w:val="left" w:pos="993"/>
        </w:tabs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B3828CB" w14:textId="19F4E989" w:rsidR="00B912A1" w:rsidRPr="00B912A1" w:rsidRDefault="00B912A1" w:rsidP="00B912A1">
      <w:pPr>
        <w:tabs>
          <w:tab w:val="left" w:pos="71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B912A1">
        <w:rPr>
          <w:rFonts w:ascii="Times New Roman" w:hAnsi="Times New Roman" w:cs="Times New Roman"/>
          <w:sz w:val="24"/>
          <w:szCs w:val="24"/>
        </w:rPr>
        <w:t>Vykdant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Neįgaliųjų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asociacijų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rėmimo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206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projektus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finansuojamos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šios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>:</w:t>
      </w:r>
    </w:p>
    <w:p w14:paraId="1481CE0A" w14:textId="2BC20CE8" w:rsidR="00B912A1" w:rsidRPr="00B912A1" w:rsidRDefault="00B912A1" w:rsidP="00B912A1">
      <w:pPr>
        <w:pStyle w:val="ListParagraph"/>
        <w:numPr>
          <w:ilvl w:val="0"/>
          <w:numId w:val="2"/>
        </w:numPr>
        <w:tabs>
          <w:tab w:val="left" w:pos="71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neįgaliųjų </w:t>
      </w:r>
      <w:proofErr w:type="spellStart"/>
      <w:r w:rsidRPr="00B912A1">
        <w:rPr>
          <w:rFonts w:ascii="Times New Roman" w:hAnsi="Times New Roman" w:cs="Times New Roman"/>
          <w:b/>
          <w:bCs/>
          <w:sz w:val="24"/>
          <w:szCs w:val="24"/>
        </w:rPr>
        <w:t>teisių</w:t>
      </w:r>
      <w:proofErr w:type="spellEnd"/>
      <w:r w:rsidRPr="00B9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b/>
          <w:bCs/>
          <w:sz w:val="24"/>
          <w:szCs w:val="24"/>
        </w:rPr>
        <w:t>gynimas</w:t>
      </w:r>
      <w:proofErr w:type="spellEnd"/>
      <w:r w:rsidRPr="00B912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4E417A" w14:textId="33725225" w:rsidR="00B538D7" w:rsidRPr="00B538D7" w:rsidRDefault="00B912A1" w:rsidP="00B538D7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nuolatinio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pobūdžio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atstovavimas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teikiant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teisines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konsultacijas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atstovaujant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neįgaliuosius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mediacijos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procesuose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išankstinio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ginčų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nagrinėjimo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teismo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institucijose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savivaldybių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institucijose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įstaigose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savivaldybių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institucijų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grupėse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pan.,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teikiant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pasiūlymus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projektams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>);</w:t>
      </w:r>
    </w:p>
    <w:p w14:paraId="013E2FD9" w14:textId="7E8958CF" w:rsidR="00B538D7" w:rsidRPr="00B538D7" w:rsidRDefault="00B538D7" w:rsidP="00B538D7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b/>
          <w:bCs/>
          <w:sz w:val="24"/>
          <w:szCs w:val="24"/>
        </w:rPr>
        <w:t>švietėjiška</w:t>
      </w:r>
      <w:proofErr w:type="spellEnd"/>
      <w:r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b/>
          <w:bCs/>
          <w:sz w:val="24"/>
          <w:szCs w:val="24"/>
        </w:rPr>
        <w:t>veikla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paskaitos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kampanijos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akcijos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renginiai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įvairios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orientuotos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viešąsias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teikiančių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specialistų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švietimą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neįgaliųjų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teisių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konferencijos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seminarai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mokymai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renginiai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su neįgaliųjų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teisių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gynimu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4C89C22" w14:textId="4DC13C87" w:rsidR="00B538D7" w:rsidRPr="00B538D7" w:rsidRDefault="00B538D7" w:rsidP="00B538D7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b/>
          <w:bCs/>
          <w:sz w:val="24"/>
          <w:szCs w:val="24"/>
        </w:rPr>
        <w:t>metodinė</w:t>
      </w:r>
      <w:proofErr w:type="spellEnd"/>
      <w:r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b/>
          <w:bCs/>
          <w:sz w:val="24"/>
          <w:szCs w:val="24"/>
        </w:rPr>
        <w:t>pagalba</w:t>
      </w:r>
      <w:proofErr w:type="spellEnd"/>
      <w:r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neįgaliųjų asociacijos </w:t>
      </w:r>
      <w:proofErr w:type="spellStart"/>
      <w:r w:rsidRPr="00B538D7">
        <w:rPr>
          <w:rFonts w:ascii="Times New Roman" w:hAnsi="Times New Roman" w:cs="Times New Roman"/>
          <w:b/>
          <w:bCs/>
          <w:sz w:val="24"/>
          <w:szCs w:val="24"/>
        </w:rPr>
        <w:t>nariams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informavimas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konsultavimas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švietėjiškos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teikimas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taikymo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pakeitimų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projektų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rašymo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 xml:space="preserve"> pan. </w:t>
      </w:r>
      <w:proofErr w:type="spellStart"/>
      <w:r w:rsidRPr="00B538D7"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 w:rsidRPr="00B538D7">
        <w:rPr>
          <w:rFonts w:ascii="Times New Roman" w:hAnsi="Times New Roman" w:cs="Times New Roman"/>
          <w:sz w:val="24"/>
          <w:szCs w:val="24"/>
        </w:rPr>
        <w:t>);</w:t>
      </w:r>
    </w:p>
    <w:p w14:paraId="29499BDE" w14:textId="7512E338" w:rsidR="00B912A1" w:rsidRPr="00B538D7" w:rsidRDefault="00B912A1" w:rsidP="00B538D7">
      <w:pPr>
        <w:pStyle w:val="ListParagraph"/>
        <w:numPr>
          <w:ilvl w:val="1"/>
          <w:numId w:val="2"/>
        </w:numPr>
        <w:tabs>
          <w:tab w:val="left" w:pos="0"/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38D7">
        <w:rPr>
          <w:rFonts w:ascii="Times New Roman" w:hAnsi="Times New Roman" w:cs="Times New Roman"/>
          <w:b/>
          <w:bCs/>
          <w:sz w:val="24"/>
          <w:szCs w:val="24"/>
        </w:rPr>
        <w:t>tarptautinis</w:t>
      </w:r>
      <w:proofErr w:type="spellEnd"/>
      <w:r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b/>
          <w:bCs/>
          <w:sz w:val="24"/>
          <w:szCs w:val="24"/>
        </w:rPr>
        <w:t>bendradarbiavimas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6389801" w14:textId="77777777" w:rsidR="00B912A1" w:rsidRDefault="00B912A1" w:rsidP="00B912A1">
      <w:pPr>
        <w:pStyle w:val="ListParagraph"/>
        <w:tabs>
          <w:tab w:val="left" w:pos="15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93805D" w14:textId="44AC161C" w:rsidR="00B73A05" w:rsidRDefault="00B912A1" w:rsidP="00B73A05">
      <w:pPr>
        <w:pStyle w:val="ListParagraph"/>
        <w:numPr>
          <w:ilvl w:val="0"/>
          <w:numId w:val="3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12A1">
        <w:rPr>
          <w:rFonts w:ascii="Times New Roman" w:hAnsi="Times New Roman" w:cs="Times New Roman"/>
          <w:b/>
          <w:bCs/>
          <w:sz w:val="24"/>
          <w:szCs w:val="24"/>
        </w:rPr>
        <w:t>prioritetinės</w:t>
      </w:r>
      <w:proofErr w:type="spellEnd"/>
      <w:r w:rsidRPr="00B9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b/>
          <w:bCs/>
          <w:sz w:val="24"/>
          <w:szCs w:val="24"/>
        </w:rPr>
        <w:t>veiklos</w:t>
      </w:r>
      <w:proofErr w:type="spellEnd"/>
      <w:r w:rsidRPr="00B912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A69F6F" w14:textId="77777777" w:rsidR="00B538D7" w:rsidRPr="00B538D7" w:rsidRDefault="00B73A05" w:rsidP="00DA3944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smurto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neapykantos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nusikaltimų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neapykantos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kalbos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prieš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neįgaliuosius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prevencija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pagalba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nuo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smurto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neapykantos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nusikaltimų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neapykantos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kalbos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nukentėjusiems</w:t>
      </w:r>
      <w:proofErr w:type="spellEnd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b/>
          <w:bCs/>
          <w:sz w:val="24"/>
          <w:szCs w:val="24"/>
        </w:rPr>
        <w:t>neįgaliesiems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teisinės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konsultacijos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informavimas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konsultavimas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tarpininkavimas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atstovavimas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mokymai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įvairios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skirtos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kovoti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smurtu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neapykantos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nusikaltimais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neapykantos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kalba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neįgaliuosius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šviesti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išnaudojimo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smurto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atpažinimo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prevencijos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šalinimo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didinti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informuotumą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sąmoningumą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neapykantos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nusikaltimus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neapykantos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8D7" w:rsidRPr="00B538D7">
        <w:rPr>
          <w:rFonts w:ascii="Times New Roman" w:hAnsi="Times New Roman" w:cs="Times New Roman"/>
          <w:sz w:val="24"/>
          <w:szCs w:val="24"/>
        </w:rPr>
        <w:t>kalbą</w:t>
      </w:r>
      <w:proofErr w:type="spellEnd"/>
      <w:r w:rsidR="00B538D7" w:rsidRPr="00B538D7">
        <w:rPr>
          <w:rFonts w:ascii="Times New Roman" w:hAnsi="Times New Roman" w:cs="Times New Roman"/>
          <w:sz w:val="24"/>
          <w:szCs w:val="24"/>
        </w:rPr>
        <w:t>);</w:t>
      </w:r>
    </w:p>
    <w:p w14:paraId="393D94DA" w14:textId="77777777" w:rsidR="00B538D7" w:rsidRPr="00DA3944" w:rsidRDefault="00B538D7" w:rsidP="00DA3944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b/>
          <w:bCs/>
          <w:sz w:val="24"/>
          <w:szCs w:val="24"/>
        </w:rPr>
        <w:t>informacijos</w:t>
      </w:r>
      <w:proofErr w:type="spellEnd"/>
      <w:r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b/>
          <w:bCs/>
          <w:sz w:val="24"/>
          <w:szCs w:val="24"/>
        </w:rPr>
        <w:t>prieinamumo</w:t>
      </w:r>
      <w:proofErr w:type="spellEnd"/>
      <w:r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b/>
          <w:bCs/>
          <w:sz w:val="24"/>
          <w:szCs w:val="24"/>
        </w:rPr>
        <w:t>žmonėms</w:t>
      </w:r>
      <w:proofErr w:type="spellEnd"/>
      <w:r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su negalia </w:t>
      </w:r>
      <w:proofErr w:type="spellStart"/>
      <w:r w:rsidRPr="00B538D7">
        <w:rPr>
          <w:rFonts w:ascii="Times New Roman" w:hAnsi="Times New Roman" w:cs="Times New Roman"/>
          <w:b/>
          <w:bCs/>
          <w:sz w:val="24"/>
          <w:szCs w:val="24"/>
        </w:rPr>
        <w:t>skatinimo</w:t>
      </w:r>
      <w:proofErr w:type="spellEnd"/>
      <w:r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38D7">
        <w:rPr>
          <w:rFonts w:ascii="Times New Roman" w:hAnsi="Times New Roman" w:cs="Times New Roman"/>
          <w:b/>
          <w:bCs/>
          <w:sz w:val="24"/>
          <w:szCs w:val="24"/>
        </w:rPr>
        <w:t>veikla</w:t>
      </w:r>
      <w:proofErr w:type="spellEnd"/>
      <w:r w:rsidRPr="00B5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9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įvairios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orientuotos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prieinamumą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konferencijos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seminarai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mokymai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renginiai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 su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negalią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turintiems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prieinama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aplinka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galimybe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gauti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alternatyviais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pateikimo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formatais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Šiai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veiklai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priskiriamos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Nuostatų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15.7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papunktyje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nurodyta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periodinių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leidinių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susijusios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>;</w:t>
      </w:r>
    </w:p>
    <w:p w14:paraId="6A4DC5D9" w14:textId="483413D8" w:rsidR="00B73A05" w:rsidRPr="00DA3944" w:rsidRDefault="00DA3944" w:rsidP="00DA394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3944">
        <w:rPr>
          <w:rFonts w:ascii="Times New Roman" w:hAnsi="Times New Roman" w:cs="Times New Roman"/>
          <w:b/>
          <w:bCs/>
          <w:sz w:val="24"/>
          <w:szCs w:val="24"/>
        </w:rPr>
        <w:t xml:space="preserve">neįgaliųjų </w:t>
      </w:r>
      <w:proofErr w:type="spellStart"/>
      <w:r w:rsidRPr="00DA3944">
        <w:rPr>
          <w:rFonts w:ascii="Times New Roman" w:hAnsi="Times New Roman" w:cs="Times New Roman"/>
          <w:b/>
          <w:bCs/>
          <w:sz w:val="24"/>
          <w:szCs w:val="24"/>
        </w:rPr>
        <w:t>dalyvavimo</w:t>
      </w:r>
      <w:proofErr w:type="spellEnd"/>
      <w:r w:rsidRPr="00DA3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b/>
          <w:bCs/>
          <w:sz w:val="24"/>
          <w:szCs w:val="24"/>
        </w:rPr>
        <w:t>atviroje</w:t>
      </w:r>
      <w:proofErr w:type="spellEnd"/>
      <w:r w:rsidRPr="00DA3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b/>
          <w:bCs/>
          <w:sz w:val="24"/>
          <w:szCs w:val="24"/>
        </w:rPr>
        <w:t>darbo</w:t>
      </w:r>
      <w:proofErr w:type="spellEnd"/>
      <w:r w:rsidRPr="00DA3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b/>
          <w:bCs/>
          <w:sz w:val="24"/>
          <w:szCs w:val="24"/>
        </w:rPr>
        <w:t>rinkoje</w:t>
      </w:r>
      <w:proofErr w:type="spellEnd"/>
      <w:r w:rsidRPr="00DA3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b/>
          <w:bCs/>
          <w:sz w:val="24"/>
          <w:szCs w:val="24"/>
        </w:rPr>
        <w:t>skatinimo</w:t>
      </w:r>
      <w:proofErr w:type="spellEnd"/>
      <w:r w:rsidRPr="00DA3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b/>
          <w:bCs/>
          <w:sz w:val="24"/>
          <w:szCs w:val="24"/>
        </w:rPr>
        <w:t>veikla</w:t>
      </w:r>
      <w:proofErr w:type="spellEnd"/>
      <w:r w:rsidRPr="00DA3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9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įvairios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orientuotos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į neįgaliųjų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dalyvavimą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atviroje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rinkoje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mokymai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renginiai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su neįgaliųjų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užimtumo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atviroje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rinkoje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skatinimu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darbdavių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išankstinio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požiūrio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pokyčiu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negalią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turinčių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žmonių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atžvilgiu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sėkmingų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negalią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turinčių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žmonių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įdarbinimo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pavyzdžių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viešinimu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vietų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steigimą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pritaikymą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įdarbinant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pradėjus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pan.);</w:t>
      </w:r>
    </w:p>
    <w:p w14:paraId="061E9059" w14:textId="69827842" w:rsidR="00B912A1" w:rsidRPr="00DA3944" w:rsidRDefault="00DA3944" w:rsidP="00DA3944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įtraukiojo</w:t>
      </w:r>
      <w:proofErr w:type="spellEnd"/>
      <w:r w:rsidRPr="00DA3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b/>
          <w:bCs/>
          <w:sz w:val="24"/>
          <w:szCs w:val="24"/>
        </w:rPr>
        <w:t>ugdymo</w:t>
      </w:r>
      <w:proofErr w:type="spellEnd"/>
      <w:r w:rsidRPr="00DA3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b/>
          <w:bCs/>
          <w:sz w:val="24"/>
          <w:szCs w:val="24"/>
        </w:rPr>
        <w:t>skatinimo</w:t>
      </w:r>
      <w:proofErr w:type="spellEnd"/>
      <w:r w:rsidRPr="00DA3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b/>
          <w:bCs/>
          <w:sz w:val="24"/>
          <w:szCs w:val="24"/>
        </w:rPr>
        <w:t>veikla</w:t>
      </w:r>
      <w:proofErr w:type="spellEnd"/>
      <w:r w:rsidRPr="00DA3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9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įvairios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orientuotos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į 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įtraukiojo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skatinimą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konsultacijos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viešinimas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negalią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turinčius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vaikus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bendrajame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ugdyme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atstovavimas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tarpininkavimas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pan.),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mokymai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renginiai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įtraukiojo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944">
        <w:rPr>
          <w:rFonts w:ascii="Times New Roman" w:hAnsi="Times New Roman" w:cs="Times New Roman"/>
          <w:sz w:val="24"/>
          <w:szCs w:val="24"/>
        </w:rPr>
        <w:t>skatinimu</w:t>
      </w:r>
      <w:proofErr w:type="spellEnd"/>
      <w:r w:rsidRPr="00DA3944">
        <w:rPr>
          <w:rFonts w:ascii="Times New Roman" w:hAnsi="Times New Roman" w:cs="Times New Roman"/>
          <w:sz w:val="24"/>
          <w:szCs w:val="24"/>
        </w:rPr>
        <w:t>;</w:t>
      </w:r>
    </w:p>
    <w:p w14:paraId="353CB510" w14:textId="77777777" w:rsidR="00A761FD" w:rsidRPr="00B73A05" w:rsidRDefault="00A761FD" w:rsidP="00A761FD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6BB6A" w14:textId="2431B004" w:rsidR="00B73A05" w:rsidRDefault="00B912A1" w:rsidP="00B73A05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2A1">
        <w:rPr>
          <w:rFonts w:ascii="Times New Roman" w:hAnsi="Times New Roman" w:cs="Times New Roman"/>
          <w:b/>
          <w:bCs/>
          <w:sz w:val="24"/>
          <w:szCs w:val="24"/>
        </w:rPr>
        <w:t>specialistų</w:t>
      </w:r>
      <w:proofErr w:type="spellEnd"/>
      <w:r w:rsidRPr="00B9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b/>
          <w:bCs/>
          <w:sz w:val="24"/>
          <w:szCs w:val="24"/>
        </w:rPr>
        <w:t>kvalifikacijos</w:t>
      </w:r>
      <w:proofErr w:type="spellEnd"/>
      <w:r w:rsidRPr="00B9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12A1">
        <w:rPr>
          <w:rFonts w:ascii="Times New Roman" w:hAnsi="Times New Roman" w:cs="Times New Roman"/>
          <w:b/>
          <w:bCs/>
          <w:sz w:val="24"/>
          <w:szCs w:val="24"/>
        </w:rPr>
        <w:t>tobulinimas</w:t>
      </w:r>
      <w:proofErr w:type="spellEnd"/>
      <w:r w:rsidRPr="00B912A1">
        <w:rPr>
          <w:rFonts w:ascii="Times New Roman" w:hAnsi="Times New Roman" w:cs="Times New Roman"/>
          <w:sz w:val="24"/>
          <w:szCs w:val="24"/>
        </w:rPr>
        <w:t xml:space="preserve"> </w:t>
      </w:r>
      <w:r w:rsidR="00DA3944" w:rsidRPr="00DA39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tiesiogiai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neįgaliaisiais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dirbančių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specialistų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tobulinimas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paraišką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teikiančios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neįgaliųjų asociacijos,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filialų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atstovybių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vienijamų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juridinių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partnerių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vykdomas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partneriu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neįgaliųjų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asociacijų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vadybos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DA3944">
        <w:rPr>
          <w:rFonts w:ascii="Times New Roman" w:hAnsi="Times New Roman" w:cs="Times New Roman"/>
          <w:sz w:val="24"/>
          <w:szCs w:val="24"/>
        </w:rPr>
        <w:t>lavinimas</w:t>
      </w:r>
      <w:proofErr w:type="spellEnd"/>
      <w:r w:rsidR="00DA3944" w:rsidRPr="00DA3944">
        <w:rPr>
          <w:rFonts w:ascii="Times New Roman" w:hAnsi="Times New Roman" w:cs="Times New Roman"/>
          <w:sz w:val="24"/>
          <w:szCs w:val="24"/>
        </w:rPr>
        <w:t>);</w:t>
      </w:r>
    </w:p>
    <w:p w14:paraId="5D043073" w14:textId="77777777" w:rsidR="00A761FD" w:rsidRDefault="00A761FD" w:rsidP="00A761FD">
      <w:pPr>
        <w:pStyle w:val="ListParagraph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D8FD1B" w14:textId="04C39667" w:rsidR="00B73A05" w:rsidRDefault="00B912A1" w:rsidP="00B73A05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neįgaliųjų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savarankiško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gyvenimo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įgūdžių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ugdymas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mokymuose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seminaruose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stovyklose</w:t>
      </w:r>
      <w:proofErr w:type="spellEnd"/>
      <w:r w:rsidRPr="00B73A05">
        <w:rPr>
          <w:rFonts w:ascii="Times New Roman" w:hAnsi="Times New Roman" w:cs="Times New Roman"/>
          <w:sz w:val="24"/>
          <w:szCs w:val="24"/>
        </w:rPr>
        <w:t>;</w:t>
      </w:r>
    </w:p>
    <w:p w14:paraId="317CC370" w14:textId="77777777" w:rsidR="00A761FD" w:rsidRPr="00A761FD" w:rsidRDefault="00A761FD" w:rsidP="00A761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6DB31A" w14:textId="77777777" w:rsidR="00A761FD" w:rsidRDefault="00A761FD" w:rsidP="00A761FD">
      <w:pPr>
        <w:pStyle w:val="ListParagraph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1D37FA" w14:textId="187C2154" w:rsidR="00B73A05" w:rsidRPr="00A761FD" w:rsidRDefault="00B912A1" w:rsidP="00B73A05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pareiškėjo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projekto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vykdytojo</w:t>
      </w:r>
      <w:proofErr w:type="spellEnd"/>
      <w:r w:rsidR="00D42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organizuojami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aktyvaus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poilsio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renginiai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neįgaliesiems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pareiškėjo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projekto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vykdytojo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narių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dalyvavimas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kitų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juridinių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asmenų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organizuojamuose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aktyvaus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poilsio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renginiuose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B894D52" w14:textId="77777777" w:rsidR="00A761FD" w:rsidRPr="00B73A05" w:rsidRDefault="00A761FD" w:rsidP="00A761FD">
      <w:pPr>
        <w:pStyle w:val="ListParagraph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6DFF40" w14:textId="7D67F403" w:rsidR="00B73A05" w:rsidRPr="00A761FD" w:rsidRDefault="00B912A1" w:rsidP="00B73A05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pareiškėjo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projekto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vykdytojo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organizuojami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kultūros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renginiai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neįgaliesiems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pareiškėjo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projekto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vykdytojo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narių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dalyvavimas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kitų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juridinių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asmenų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organizuojamuose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kultūros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A05">
        <w:rPr>
          <w:rFonts w:ascii="Times New Roman" w:hAnsi="Times New Roman" w:cs="Times New Roman"/>
          <w:b/>
          <w:bCs/>
          <w:sz w:val="24"/>
          <w:szCs w:val="24"/>
        </w:rPr>
        <w:t>renginiuose</w:t>
      </w:r>
      <w:proofErr w:type="spellEnd"/>
      <w:r w:rsidRPr="00B73A0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1C0B38C" w14:textId="77777777" w:rsidR="00A761FD" w:rsidRPr="00A761FD" w:rsidRDefault="00A761FD" w:rsidP="00A761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092442" w14:textId="77777777" w:rsidR="00A761FD" w:rsidRPr="00B73A05" w:rsidRDefault="00A761FD" w:rsidP="00A761FD">
      <w:pPr>
        <w:pStyle w:val="ListParagraph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0607B1" w14:textId="2128D361" w:rsidR="00B912A1" w:rsidRPr="00065CCB" w:rsidRDefault="00B912A1" w:rsidP="00DA394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CCB">
        <w:rPr>
          <w:rFonts w:ascii="Times New Roman" w:hAnsi="Times New Roman" w:cs="Times New Roman"/>
          <w:b/>
          <w:bCs/>
          <w:sz w:val="24"/>
          <w:szCs w:val="24"/>
        </w:rPr>
        <w:t>periodinių</w:t>
      </w:r>
      <w:proofErr w:type="spellEnd"/>
      <w:r w:rsidRPr="0006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b/>
          <w:bCs/>
          <w:sz w:val="24"/>
          <w:szCs w:val="24"/>
        </w:rPr>
        <w:t>leidinių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r w:rsidR="00DA3944" w:rsidRPr="00065CCB">
        <w:rPr>
          <w:rFonts w:ascii="Times New Roman" w:hAnsi="Times New Roman" w:cs="Times New Roman"/>
          <w:sz w:val="24"/>
          <w:szCs w:val="24"/>
        </w:rPr>
        <w:t xml:space="preserve">(ne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keturi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numeriai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mažesnis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egzempliorių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vieno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numerio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tiražas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leidžiamas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popierinis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periodinis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leidinys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įskaitant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Brailio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garsiniu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leidžiamą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tiražą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>susijusių</w:t>
      </w:r>
      <w:proofErr w:type="spellEnd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 xml:space="preserve"> su neįgaliųjų </w:t>
      </w:r>
      <w:proofErr w:type="spellStart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>socialine</w:t>
      </w:r>
      <w:proofErr w:type="spellEnd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>integracija</w:t>
      </w:r>
      <w:proofErr w:type="spellEnd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>lygių</w:t>
      </w:r>
      <w:proofErr w:type="spellEnd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>galimybių</w:t>
      </w:r>
      <w:proofErr w:type="spellEnd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>neįgaliesiems</w:t>
      </w:r>
      <w:proofErr w:type="spellEnd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>sudarymu</w:t>
      </w:r>
      <w:proofErr w:type="spellEnd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>leidyba</w:t>
      </w:r>
      <w:proofErr w:type="spellEnd"/>
      <w:r w:rsidR="00DA3944" w:rsidRPr="0006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reginčiųjų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Brailio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elektroniniu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garsiniu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įskaitant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QR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kodus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kuriais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pateikiama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gestų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kalba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procentų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periodinio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leidinio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parengta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lengvai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suprantama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kalba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Publikuojamų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straipsnių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turinys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susijęs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su neįgaliųjų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socialine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integracija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lygių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galimybių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944" w:rsidRPr="00065CCB">
        <w:rPr>
          <w:rFonts w:ascii="Times New Roman" w:hAnsi="Times New Roman" w:cs="Times New Roman"/>
          <w:sz w:val="24"/>
          <w:szCs w:val="24"/>
        </w:rPr>
        <w:t>sudarymu</w:t>
      </w:r>
      <w:proofErr w:type="spellEnd"/>
      <w:r w:rsidR="00DA3944" w:rsidRPr="00065CCB">
        <w:rPr>
          <w:rFonts w:ascii="Times New Roman" w:hAnsi="Times New Roman" w:cs="Times New Roman"/>
          <w:sz w:val="24"/>
          <w:szCs w:val="24"/>
        </w:rPr>
        <w:t>:</w:t>
      </w:r>
    </w:p>
    <w:p w14:paraId="3641E3A4" w14:textId="77777777" w:rsidR="00DA3944" w:rsidRPr="00065CCB" w:rsidRDefault="00DA3944" w:rsidP="00DA394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4377F1" w14:textId="45E6068B" w:rsidR="00B73A05" w:rsidRPr="00065CCB" w:rsidRDefault="00B912A1" w:rsidP="00B73A05">
      <w:pPr>
        <w:pStyle w:val="ListParagraph"/>
        <w:numPr>
          <w:ilvl w:val="1"/>
          <w:numId w:val="4"/>
        </w:numPr>
        <w:tabs>
          <w:tab w:val="left" w:pos="426"/>
          <w:tab w:val="left" w:pos="15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CCB"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publikacijų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rengimas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šiomis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CCB" w:rsidRPr="00065CCB">
        <w:rPr>
          <w:rFonts w:ascii="Times New Roman" w:hAnsi="Times New Roman" w:cs="Times New Roman"/>
          <w:sz w:val="24"/>
          <w:szCs w:val="24"/>
        </w:rPr>
        <w:t>neįgaliesiems</w:t>
      </w:r>
      <w:proofErr w:type="spellEnd"/>
      <w:r w:rsidR="00065CCB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CCB" w:rsidRPr="00065CCB">
        <w:rPr>
          <w:rFonts w:ascii="Times New Roman" w:hAnsi="Times New Roman" w:cs="Times New Roman"/>
          <w:sz w:val="24"/>
          <w:szCs w:val="24"/>
        </w:rPr>
        <w:t>aktualiomis</w:t>
      </w:r>
      <w:proofErr w:type="spellEnd"/>
      <w:r w:rsidR="00065CCB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CCB" w:rsidRPr="00065CCB">
        <w:rPr>
          <w:rFonts w:ascii="Times New Roman" w:hAnsi="Times New Roman" w:cs="Times New Roman"/>
          <w:sz w:val="24"/>
          <w:szCs w:val="24"/>
        </w:rPr>
        <w:t>temomis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: neįgaliųjų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ugdymas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apsauga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švietimas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mokslas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socialinė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apsauga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socialinė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atskirties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mažinimas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kultūra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sportas,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prieinamumas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neįgaliesiems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neįgaliųjų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lastRenderedPageBreak/>
        <w:t>užimtumas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profesinis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rengimas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profesinė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reabilitacija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8CD" w:rsidRPr="00065CCB">
        <w:rPr>
          <w:rFonts w:ascii="Times New Roman" w:hAnsi="Times New Roman" w:cs="Times New Roman"/>
          <w:sz w:val="24"/>
          <w:szCs w:val="24"/>
        </w:rPr>
        <w:t>dalyvavimas</w:t>
      </w:r>
      <w:proofErr w:type="spellEnd"/>
      <w:r w:rsidR="002F48CD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8CD" w:rsidRPr="00065CCB">
        <w:rPr>
          <w:rFonts w:ascii="Times New Roman" w:hAnsi="Times New Roman" w:cs="Times New Roman"/>
          <w:sz w:val="24"/>
          <w:szCs w:val="24"/>
        </w:rPr>
        <w:t>atviroje</w:t>
      </w:r>
      <w:proofErr w:type="spellEnd"/>
      <w:r w:rsidR="002F48CD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8CD" w:rsidRPr="00065CCB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2F48CD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8CD" w:rsidRPr="00065CCB">
        <w:rPr>
          <w:rFonts w:ascii="Times New Roman" w:hAnsi="Times New Roman" w:cs="Times New Roman"/>
          <w:sz w:val="24"/>
          <w:szCs w:val="24"/>
        </w:rPr>
        <w:t>rinkoje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laisvalaikis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>;</w:t>
      </w:r>
    </w:p>
    <w:p w14:paraId="4B7DF2E7" w14:textId="0D6D694C" w:rsidR="004945A1" w:rsidRPr="00065CCB" w:rsidRDefault="00B912A1" w:rsidP="00B73A05">
      <w:pPr>
        <w:pStyle w:val="ListParagraph"/>
        <w:numPr>
          <w:ilvl w:val="1"/>
          <w:numId w:val="4"/>
        </w:numPr>
        <w:tabs>
          <w:tab w:val="left" w:pos="426"/>
          <w:tab w:val="left" w:pos="15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CCB"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publikacijų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rengimas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šiomis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temomis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CCB" w:rsidRPr="00065CCB">
        <w:rPr>
          <w:rFonts w:ascii="Times New Roman" w:hAnsi="Times New Roman" w:cs="Times New Roman"/>
          <w:sz w:val="24"/>
          <w:szCs w:val="24"/>
        </w:rPr>
        <w:t>p</w:t>
      </w:r>
      <w:r w:rsidRPr="00065CCB">
        <w:rPr>
          <w:rFonts w:ascii="Times New Roman" w:hAnsi="Times New Roman" w:cs="Times New Roman"/>
          <w:sz w:val="24"/>
          <w:szCs w:val="24"/>
        </w:rPr>
        <w:t>areiškėjo</w:t>
      </w:r>
      <w:proofErr w:type="spellEnd"/>
      <w:r w:rsidR="00065CCB"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CCB" w:rsidRPr="00065CCB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="00065CCB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CCB" w:rsidRPr="00065CCB">
        <w:rPr>
          <w:rFonts w:ascii="Times New Roman" w:hAnsi="Times New Roman" w:cs="Times New Roman"/>
          <w:sz w:val="24"/>
          <w:szCs w:val="24"/>
        </w:rPr>
        <w:t>vykdytojo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pobūdį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: žmonių su negalia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integracijos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neįgaliųjų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su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neįgaliaisiais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projektai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pasiekimų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įvairių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8CD" w:rsidRPr="00065CCB">
        <w:rPr>
          <w:rFonts w:ascii="Times New Roman" w:hAnsi="Times New Roman" w:cs="Times New Roman"/>
          <w:sz w:val="24"/>
          <w:szCs w:val="24"/>
        </w:rPr>
        <w:t>populiarūs</w:t>
      </w:r>
      <w:proofErr w:type="spellEnd"/>
      <w:r w:rsidR="002F48CD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pristatymai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analitiniai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straipsniai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r w:rsidR="002F48CD" w:rsidRPr="00065CCB">
        <w:rPr>
          <w:rFonts w:ascii="Times New Roman" w:hAnsi="Times New Roman" w:cs="Times New Roman"/>
          <w:sz w:val="24"/>
          <w:szCs w:val="24"/>
        </w:rPr>
        <w:t xml:space="preserve">neįgaliųjų </w:t>
      </w:r>
      <w:proofErr w:type="spellStart"/>
      <w:r w:rsidR="002F48CD" w:rsidRPr="00065CCB"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 w:rsidR="002F48CD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8CD" w:rsidRPr="00065CCB">
        <w:rPr>
          <w:rFonts w:ascii="Times New Roman" w:hAnsi="Times New Roman" w:cs="Times New Roman"/>
          <w:sz w:val="24"/>
          <w:szCs w:val="24"/>
        </w:rPr>
        <w:t>integracijos</w:t>
      </w:r>
      <w:proofErr w:type="spellEnd"/>
      <w:r w:rsidR="002F48CD"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geroji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patirtis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šalyse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nevyriausybinių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organizacijų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vienijamų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neįgaliųjų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saviraiška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kultūrinės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CCB">
        <w:rPr>
          <w:rFonts w:ascii="Times New Roman" w:hAnsi="Times New Roman" w:cs="Times New Roman"/>
          <w:sz w:val="24"/>
          <w:szCs w:val="24"/>
        </w:rPr>
        <w:t>aktualijos</w:t>
      </w:r>
      <w:proofErr w:type="spellEnd"/>
      <w:r w:rsidRPr="00065CCB">
        <w:rPr>
          <w:rFonts w:ascii="Times New Roman" w:hAnsi="Times New Roman" w:cs="Times New Roman"/>
          <w:sz w:val="24"/>
          <w:szCs w:val="24"/>
        </w:rPr>
        <w:t>.</w:t>
      </w:r>
    </w:p>
    <w:sectPr w:rsidR="004945A1" w:rsidRPr="0006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155F" w14:textId="77777777" w:rsidR="00C27AFC" w:rsidRDefault="00C27AFC" w:rsidP="00B912A1">
      <w:pPr>
        <w:spacing w:after="0" w:line="240" w:lineRule="auto"/>
      </w:pPr>
      <w:r>
        <w:separator/>
      </w:r>
    </w:p>
  </w:endnote>
  <w:endnote w:type="continuationSeparator" w:id="0">
    <w:p w14:paraId="3FCE64F9" w14:textId="77777777" w:rsidR="00C27AFC" w:rsidRDefault="00C27AFC" w:rsidP="00B9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F97A" w14:textId="77777777" w:rsidR="00C27AFC" w:rsidRDefault="00C27AFC" w:rsidP="00B912A1">
      <w:pPr>
        <w:spacing w:after="0" w:line="240" w:lineRule="auto"/>
      </w:pPr>
      <w:r>
        <w:separator/>
      </w:r>
    </w:p>
  </w:footnote>
  <w:footnote w:type="continuationSeparator" w:id="0">
    <w:p w14:paraId="678C12DC" w14:textId="77777777" w:rsidR="00C27AFC" w:rsidRDefault="00C27AFC" w:rsidP="00B91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1DF"/>
    <w:multiLevelType w:val="multilevel"/>
    <w:tmpl w:val="C66E25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C150DCD"/>
    <w:multiLevelType w:val="multilevel"/>
    <w:tmpl w:val="7C60E766"/>
    <w:lvl w:ilvl="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" w15:restartNumberingAfterBreak="0">
    <w:nsid w:val="1D120003"/>
    <w:multiLevelType w:val="multilevel"/>
    <w:tmpl w:val="9D9C0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5D1A97"/>
    <w:multiLevelType w:val="multilevel"/>
    <w:tmpl w:val="E9F2A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07643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857444">
    <w:abstractNumId w:val="3"/>
  </w:num>
  <w:num w:numId="3" w16cid:durableId="99884247">
    <w:abstractNumId w:val="2"/>
  </w:num>
  <w:num w:numId="4" w16cid:durableId="48432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A1"/>
    <w:rsid w:val="00065CCB"/>
    <w:rsid w:val="00216E27"/>
    <w:rsid w:val="002F48CD"/>
    <w:rsid w:val="004945A1"/>
    <w:rsid w:val="0063553E"/>
    <w:rsid w:val="00820691"/>
    <w:rsid w:val="00871CE0"/>
    <w:rsid w:val="00963AEE"/>
    <w:rsid w:val="00A761FD"/>
    <w:rsid w:val="00B23A6D"/>
    <w:rsid w:val="00B538D7"/>
    <w:rsid w:val="00B73A05"/>
    <w:rsid w:val="00B822D5"/>
    <w:rsid w:val="00B912A1"/>
    <w:rsid w:val="00C27AFC"/>
    <w:rsid w:val="00D42A56"/>
    <w:rsid w:val="00DA3944"/>
    <w:rsid w:val="00DD2DF1"/>
    <w:rsid w:val="00F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CD2D"/>
  <w15:chartTrackingRefBased/>
  <w15:docId w15:val="{4F4ECF1E-84CB-4E00-BFCD-A01E506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Red Char"/>
    <w:link w:val="ListParagraph"/>
    <w:locked/>
    <w:rsid w:val="00B912A1"/>
  </w:style>
  <w:style w:type="paragraph" w:styleId="ListParagraph">
    <w:name w:val="List Paragraph"/>
    <w:aliases w:val="List Paragraph Red"/>
    <w:basedOn w:val="Normal"/>
    <w:link w:val="ListParagraphChar"/>
    <w:qFormat/>
    <w:rsid w:val="00B912A1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A1"/>
  </w:style>
  <w:style w:type="paragraph" w:styleId="Footer">
    <w:name w:val="footer"/>
    <w:basedOn w:val="Normal"/>
    <w:link w:val="FooterChar"/>
    <w:uiPriority w:val="99"/>
    <w:unhideWhenUsed/>
    <w:rsid w:val="00B9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Karvelienė</dc:creator>
  <cp:keywords/>
  <dc:description/>
  <cp:lastModifiedBy>Jolita Karvelienė</cp:lastModifiedBy>
  <cp:revision>11</cp:revision>
  <dcterms:created xsi:type="dcterms:W3CDTF">2021-09-06T07:52:00Z</dcterms:created>
  <dcterms:modified xsi:type="dcterms:W3CDTF">2022-09-07T12:40:00Z</dcterms:modified>
</cp:coreProperties>
</file>