
<file path=[Content_Types].xml><?xml version="1.0" encoding="utf-8"?>
<Types xmlns="http://schemas.openxmlformats.org/package/2006/content-types">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C89E" w14:textId="6903178C" w:rsidR="00E86E27" w:rsidRPr="00294F06" w:rsidRDefault="008612A0" w:rsidP="007F0D73">
      <w:pPr>
        <w:tabs>
          <w:tab w:val="left" w:pos="1276"/>
          <w:tab w:val="left" w:pos="2592"/>
          <w:tab w:val="left" w:pos="3888"/>
          <w:tab w:val="left" w:pos="5185"/>
          <w:tab w:val="left" w:pos="6481"/>
          <w:tab w:val="left" w:pos="7777"/>
          <w:tab w:val="left" w:pos="9072"/>
          <w:tab w:val="left" w:pos="10335"/>
        </w:tabs>
        <w:suppressAutoHyphens/>
        <w:spacing w:line="360" w:lineRule="atLeast"/>
        <w:jc w:val="center"/>
        <w:rPr>
          <w:rFonts w:ascii="Times New Roman" w:hAnsi="Times New Roman" w:cs="Times New Roman"/>
          <w:b/>
          <w:color w:val="000000" w:themeColor="text1"/>
          <w:sz w:val="24"/>
          <w:szCs w:val="24"/>
        </w:rPr>
      </w:pPr>
      <w:bookmarkStart w:id="0" w:name="_Hlk78202363"/>
      <w:r w:rsidRPr="00294F06">
        <w:rPr>
          <w:rFonts w:ascii="Times New Roman" w:hAnsi="Times New Roman" w:cs="Times New Roman"/>
          <w:b/>
          <w:color w:val="000000" w:themeColor="text1"/>
          <w:sz w:val="24"/>
          <w:szCs w:val="24"/>
        </w:rPr>
        <w:t>NACIONAL</w:t>
      </w:r>
      <w:r w:rsidR="00E06FA4" w:rsidRPr="00294F06">
        <w:rPr>
          <w:rFonts w:ascii="Times New Roman" w:hAnsi="Times New Roman" w:cs="Times New Roman"/>
          <w:b/>
          <w:color w:val="000000" w:themeColor="text1"/>
          <w:sz w:val="24"/>
          <w:szCs w:val="24"/>
        </w:rPr>
        <w:t>I</w:t>
      </w:r>
      <w:r w:rsidRPr="00294F06">
        <w:rPr>
          <w:rFonts w:ascii="Times New Roman" w:hAnsi="Times New Roman" w:cs="Times New Roman"/>
          <w:b/>
          <w:color w:val="000000" w:themeColor="text1"/>
          <w:sz w:val="24"/>
          <w:szCs w:val="24"/>
        </w:rPr>
        <w:t xml:space="preserve">NĖS NEĮGALIŲJŲ SOCIALINĖS INTEGRACIJOS </w:t>
      </w:r>
      <w:r w:rsidR="007F0D73" w:rsidRPr="004F2406">
        <w:rPr>
          <w:rFonts w:ascii="Times New Roman" w:hAnsi="Times New Roman" w:cs="Times New Roman"/>
          <w:b/>
          <w:color w:val="000000" w:themeColor="text1"/>
          <w:sz w:val="24"/>
          <w:szCs w:val="24"/>
        </w:rPr>
        <w:t xml:space="preserve">2013 </w:t>
      </w:r>
      <w:r w:rsidR="007F0D73" w:rsidRPr="004F2406">
        <w:rPr>
          <w:rFonts w:ascii="Times New Roman" w:hAnsi="Times New Roman" w:cs="Times New Roman"/>
          <w:color w:val="000000" w:themeColor="text1"/>
          <w:sz w:val="24"/>
          <w:szCs w:val="24"/>
        </w:rPr>
        <w:t xml:space="preserve">– </w:t>
      </w:r>
      <w:r w:rsidR="007F0D73" w:rsidRPr="004F2406">
        <w:rPr>
          <w:rFonts w:ascii="Times New Roman" w:hAnsi="Times New Roman" w:cs="Times New Roman"/>
          <w:b/>
          <w:color w:val="000000" w:themeColor="text1"/>
          <w:sz w:val="24"/>
          <w:szCs w:val="24"/>
        </w:rPr>
        <w:t>20</w:t>
      </w:r>
      <w:r w:rsidR="00D21B1B" w:rsidRPr="004F2406">
        <w:rPr>
          <w:rFonts w:ascii="Times New Roman" w:hAnsi="Times New Roman" w:cs="Times New Roman"/>
          <w:b/>
          <w:color w:val="000000" w:themeColor="text1"/>
          <w:sz w:val="24"/>
          <w:szCs w:val="24"/>
        </w:rPr>
        <w:t>20</w:t>
      </w:r>
      <w:r w:rsidR="007F0D73" w:rsidRPr="00294F06">
        <w:rPr>
          <w:rFonts w:ascii="Times New Roman" w:hAnsi="Times New Roman" w:cs="Times New Roman"/>
          <w:b/>
          <w:color w:val="000000" w:themeColor="text1"/>
          <w:sz w:val="24"/>
          <w:szCs w:val="24"/>
        </w:rPr>
        <w:t xml:space="preserve"> METŲ </w:t>
      </w:r>
      <w:r w:rsidRPr="00294F06">
        <w:rPr>
          <w:rFonts w:ascii="Times New Roman" w:hAnsi="Times New Roman" w:cs="Times New Roman"/>
          <w:b/>
          <w:color w:val="000000" w:themeColor="text1"/>
          <w:sz w:val="24"/>
          <w:szCs w:val="24"/>
        </w:rPr>
        <w:t>PROGRAMOS</w:t>
      </w:r>
      <w:r w:rsidR="007F0D73" w:rsidRPr="00294F06">
        <w:rPr>
          <w:rFonts w:ascii="Times New Roman" w:hAnsi="Times New Roman" w:cs="Times New Roman"/>
          <w:b/>
          <w:color w:val="000000" w:themeColor="text1"/>
          <w:sz w:val="24"/>
          <w:szCs w:val="24"/>
        </w:rPr>
        <w:t xml:space="preserve"> </w:t>
      </w:r>
      <w:r w:rsidRPr="00294F06">
        <w:rPr>
          <w:rFonts w:ascii="Times New Roman" w:hAnsi="Times New Roman" w:cs="Times New Roman"/>
          <w:b/>
          <w:color w:val="000000" w:themeColor="text1"/>
          <w:sz w:val="24"/>
          <w:szCs w:val="24"/>
        </w:rPr>
        <w:t>ĮGYVENDINIMO</w:t>
      </w:r>
      <w:r w:rsidR="00AE57F0" w:rsidRPr="00294F06">
        <w:rPr>
          <w:rFonts w:ascii="Times New Roman" w:hAnsi="Times New Roman" w:cs="Times New Roman"/>
          <w:b/>
          <w:color w:val="000000" w:themeColor="text1"/>
          <w:sz w:val="24"/>
          <w:szCs w:val="24"/>
        </w:rPr>
        <w:t xml:space="preserve"> </w:t>
      </w:r>
      <w:r w:rsidRPr="00294F06">
        <w:rPr>
          <w:rFonts w:ascii="Times New Roman" w:hAnsi="Times New Roman" w:cs="Times New Roman"/>
          <w:b/>
          <w:color w:val="000000" w:themeColor="text1"/>
          <w:sz w:val="24"/>
          <w:szCs w:val="24"/>
        </w:rPr>
        <w:t>STEBĖSENOS</w:t>
      </w:r>
      <w:r w:rsidR="00E6287C" w:rsidRPr="00294F06">
        <w:rPr>
          <w:rFonts w:ascii="Times New Roman" w:hAnsi="Times New Roman" w:cs="Times New Roman"/>
          <w:b/>
          <w:color w:val="000000" w:themeColor="text1"/>
          <w:sz w:val="24"/>
          <w:szCs w:val="24"/>
        </w:rPr>
        <w:t xml:space="preserve"> ATASKAIT</w:t>
      </w:r>
      <w:r w:rsidR="006F289D" w:rsidRPr="00294F06">
        <w:rPr>
          <w:rFonts w:ascii="Times New Roman" w:hAnsi="Times New Roman" w:cs="Times New Roman"/>
          <w:b/>
          <w:color w:val="000000" w:themeColor="text1"/>
          <w:sz w:val="24"/>
          <w:szCs w:val="24"/>
        </w:rPr>
        <w:t>A</w:t>
      </w:r>
      <w:r w:rsidR="00E6287C" w:rsidRPr="00294F06">
        <w:rPr>
          <w:rFonts w:ascii="Times New Roman" w:hAnsi="Times New Roman" w:cs="Times New Roman"/>
          <w:b/>
          <w:color w:val="000000" w:themeColor="text1"/>
          <w:sz w:val="24"/>
          <w:szCs w:val="24"/>
        </w:rPr>
        <w:t xml:space="preserve"> </w:t>
      </w:r>
    </w:p>
    <w:bookmarkEnd w:id="0"/>
    <w:p w14:paraId="4D19F983" w14:textId="77777777" w:rsidR="00C40F4F" w:rsidRPr="00294F06" w:rsidRDefault="00C40F4F" w:rsidP="00AE57F0">
      <w:pPr>
        <w:pStyle w:val="centrbold"/>
        <w:spacing w:before="0" w:beforeAutospacing="0" w:after="0" w:afterAutospacing="0"/>
        <w:ind w:left="720"/>
        <w:jc w:val="center"/>
        <w:rPr>
          <w:b/>
          <w:color w:val="000000" w:themeColor="text1"/>
        </w:rPr>
      </w:pPr>
    </w:p>
    <w:p w14:paraId="7886058E" w14:textId="77777777" w:rsidR="00E6287C" w:rsidRPr="00294F06" w:rsidRDefault="00E6287C" w:rsidP="00E6287C">
      <w:pPr>
        <w:pStyle w:val="bodytext"/>
        <w:tabs>
          <w:tab w:val="left" w:pos="851"/>
        </w:tabs>
        <w:spacing w:before="0" w:beforeAutospacing="0" w:after="0" w:afterAutospacing="0"/>
        <w:jc w:val="both"/>
        <w:rPr>
          <w:color w:val="000000" w:themeColor="text1"/>
        </w:rPr>
      </w:pPr>
      <w:r w:rsidRPr="00294F06">
        <w:rPr>
          <w:color w:val="000000" w:themeColor="text1"/>
        </w:rPr>
        <w:tab/>
        <w:t xml:space="preserve">Vadovaujantis Nacionalinės neįgaliųjų socialinės </w:t>
      </w:r>
      <w:r w:rsidRPr="004F2406">
        <w:rPr>
          <w:color w:val="000000" w:themeColor="text1"/>
        </w:rPr>
        <w:t>integracijos 2</w:t>
      </w:r>
      <w:r w:rsidR="00D67913" w:rsidRPr="004F2406">
        <w:rPr>
          <w:color w:val="000000" w:themeColor="text1"/>
        </w:rPr>
        <w:t>013</w:t>
      </w:r>
      <w:r w:rsidRPr="004F2406">
        <w:rPr>
          <w:color w:val="000000" w:themeColor="text1"/>
        </w:rPr>
        <w:t xml:space="preserve"> – 20</w:t>
      </w:r>
      <w:r w:rsidR="009F7731" w:rsidRPr="004F2406">
        <w:rPr>
          <w:color w:val="000000" w:themeColor="text1"/>
        </w:rPr>
        <w:t>20</w:t>
      </w:r>
      <w:r w:rsidRPr="00294F06">
        <w:rPr>
          <w:color w:val="000000" w:themeColor="text1"/>
        </w:rPr>
        <w:t xml:space="preserve"> metų programos, patvirtintos Lietuvos Respublikos Vyriausybės 2012 m. lapkričio 21 d. nutarimu Nr. 1408 (toliau – Nacionalinė programa) 19 punkto nuostatomis, šios programos </w:t>
      </w:r>
      <w:r w:rsidR="00EC70ED" w:rsidRPr="00294F06">
        <w:rPr>
          <w:color w:val="000000" w:themeColor="text1"/>
        </w:rPr>
        <w:t xml:space="preserve">įgyvendinimą koordinuoja Socialinės apsaugos ir darbo ministerija o </w:t>
      </w:r>
      <w:r w:rsidRPr="00294F06">
        <w:rPr>
          <w:color w:val="000000" w:themeColor="text1"/>
        </w:rPr>
        <w:t>stebėseną vykdo Neįgaliųjų reikalų departamentas prie Socialinės apsaugos ir darbo ministerijos (</w:t>
      </w:r>
      <w:r w:rsidR="003B61CB" w:rsidRPr="00294F06">
        <w:rPr>
          <w:color w:val="000000" w:themeColor="text1"/>
        </w:rPr>
        <w:t>toliau - Departamentas</w:t>
      </w:r>
      <w:r w:rsidRPr="00294F06">
        <w:rPr>
          <w:color w:val="000000" w:themeColor="text1"/>
        </w:rPr>
        <w:t xml:space="preserve">). </w:t>
      </w:r>
    </w:p>
    <w:p w14:paraId="307A1236" w14:textId="4915DF49" w:rsidR="00AB12F2" w:rsidRPr="00AB12F2" w:rsidRDefault="00875F29" w:rsidP="009F7731">
      <w:pPr>
        <w:pStyle w:val="bodytext"/>
        <w:tabs>
          <w:tab w:val="left" w:pos="851"/>
        </w:tabs>
        <w:spacing w:before="0" w:beforeAutospacing="0" w:after="0" w:afterAutospacing="0"/>
        <w:jc w:val="both"/>
        <w:rPr>
          <w:color w:val="000000" w:themeColor="text1"/>
        </w:rPr>
      </w:pPr>
      <w:r w:rsidRPr="00294F06">
        <w:rPr>
          <w:color w:val="000000" w:themeColor="text1"/>
        </w:rPr>
        <w:tab/>
      </w:r>
      <w:r w:rsidRPr="00AB12F2">
        <w:rPr>
          <w:color w:val="000000" w:themeColor="text1"/>
        </w:rPr>
        <w:t>20</w:t>
      </w:r>
      <w:r w:rsidR="00D21B1B" w:rsidRPr="00AB12F2">
        <w:rPr>
          <w:color w:val="000000" w:themeColor="text1"/>
        </w:rPr>
        <w:t>20</w:t>
      </w:r>
      <w:r w:rsidR="00E15076" w:rsidRPr="00AB12F2">
        <w:rPr>
          <w:color w:val="000000" w:themeColor="text1"/>
        </w:rPr>
        <w:t xml:space="preserve"> metais </w:t>
      </w:r>
      <w:r w:rsidR="009F7731" w:rsidRPr="00AB12F2">
        <w:rPr>
          <w:color w:val="000000" w:themeColor="text1"/>
        </w:rPr>
        <w:t>s</w:t>
      </w:r>
      <w:r w:rsidR="005A73F3" w:rsidRPr="00AB12F2">
        <w:rPr>
          <w:color w:val="000000" w:themeColor="text1"/>
        </w:rPr>
        <w:t>tebėtas</w:t>
      </w:r>
      <w:r w:rsidRPr="00AB12F2">
        <w:rPr>
          <w:color w:val="000000" w:themeColor="text1"/>
        </w:rPr>
        <w:t xml:space="preserve"> Nacionalinės programos 20</w:t>
      </w:r>
      <w:r w:rsidR="00D21B1B" w:rsidRPr="00AB12F2">
        <w:rPr>
          <w:color w:val="000000" w:themeColor="text1"/>
        </w:rPr>
        <w:t>20</w:t>
      </w:r>
      <w:r w:rsidRPr="00AB12F2">
        <w:rPr>
          <w:color w:val="000000" w:themeColor="text1"/>
        </w:rPr>
        <w:t xml:space="preserve"> metų įgyvendinimas</w:t>
      </w:r>
      <w:r w:rsidR="009850F1" w:rsidRPr="00AB12F2">
        <w:rPr>
          <w:color w:val="000000" w:themeColor="text1"/>
        </w:rPr>
        <w:t>. Neįgaliųjų reikalų departamentas koordinavo ir stebėjo</w:t>
      </w:r>
      <w:r w:rsidR="009850F1" w:rsidRPr="00AB12F2">
        <w:t xml:space="preserve"> </w:t>
      </w:r>
      <w:r w:rsidR="009850F1" w:rsidRPr="00AB12F2">
        <w:rPr>
          <w:color w:val="000000" w:themeColor="text1"/>
        </w:rPr>
        <w:t xml:space="preserve">Nacionalinės neįgaliųjų socialinės integracijos 2013-2020 metų programos įgyvendinimo 2020 m. veiksmų planą, kurio priemonių įgyvendinimui </w:t>
      </w:r>
      <w:r w:rsidR="006F289D" w:rsidRPr="00AB12F2">
        <w:rPr>
          <w:color w:val="000000" w:themeColor="text1"/>
        </w:rPr>
        <w:t>panaudota</w:t>
      </w:r>
      <w:r w:rsidR="00792F78" w:rsidRPr="00AB12F2">
        <w:rPr>
          <w:color w:val="000000" w:themeColor="text1"/>
        </w:rPr>
        <w:t xml:space="preserve"> </w:t>
      </w:r>
      <w:r w:rsidR="00E30324" w:rsidRPr="00AB12F2">
        <w:rPr>
          <w:color w:val="000000" w:themeColor="text1"/>
        </w:rPr>
        <w:t>20233933</w:t>
      </w:r>
      <w:r w:rsidR="00941E48" w:rsidRPr="00AB12F2">
        <w:rPr>
          <w:color w:val="000000" w:themeColor="text1"/>
        </w:rPr>
        <w:t xml:space="preserve"> </w:t>
      </w:r>
      <w:r w:rsidR="00845B89" w:rsidRPr="00AB12F2">
        <w:rPr>
          <w:color w:val="000000" w:themeColor="text1"/>
        </w:rPr>
        <w:t>Eur</w:t>
      </w:r>
      <w:r w:rsidR="006F289D" w:rsidRPr="00AB12F2">
        <w:rPr>
          <w:color w:val="000000" w:themeColor="text1"/>
          <w:shd w:val="clear" w:color="auto" w:fill="FFFFFF" w:themeFill="background1"/>
        </w:rPr>
        <w:t>, iš jų valstybės biudžeto lėšų –</w:t>
      </w:r>
      <w:r w:rsidR="00294F06" w:rsidRPr="00AB12F2">
        <w:rPr>
          <w:color w:val="000000" w:themeColor="text1"/>
          <w:shd w:val="clear" w:color="auto" w:fill="FFFFFF" w:themeFill="background1"/>
        </w:rPr>
        <w:t xml:space="preserve"> </w:t>
      </w:r>
      <w:r w:rsidR="00941E48" w:rsidRPr="00AB12F2">
        <w:rPr>
          <w:color w:val="000000" w:themeColor="text1"/>
          <w:shd w:val="clear" w:color="auto" w:fill="FFFFFF" w:themeFill="background1"/>
        </w:rPr>
        <w:t>15</w:t>
      </w:r>
      <w:r w:rsidR="00E30324" w:rsidRPr="00AB12F2">
        <w:rPr>
          <w:color w:val="000000" w:themeColor="text1"/>
          <w:shd w:val="clear" w:color="auto" w:fill="FFFFFF" w:themeFill="background1"/>
        </w:rPr>
        <w:t>307933</w:t>
      </w:r>
      <w:r w:rsidR="00941E48" w:rsidRPr="00AB12F2">
        <w:rPr>
          <w:color w:val="000000" w:themeColor="text1"/>
          <w:shd w:val="clear" w:color="auto" w:fill="FFFFFF" w:themeFill="background1"/>
        </w:rPr>
        <w:t xml:space="preserve"> </w:t>
      </w:r>
      <w:r w:rsidR="005B6CCB" w:rsidRPr="00AB12F2">
        <w:rPr>
          <w:color w:val="000000" w:themeColor="text1"/>
        </w:rPr>
        <w:t>Eur,</w:t>
      </w:r>
      <w:r w:rsidR="006F289D" w:rsidRPr="00AB12F2">
        <w:rPr>
          <w:color w:val="000000" w:themeColor="text1"/>
        </w:rPr>
        <w:t xml:space="preserve"> Europos sąjungos finansinės paramos lėšų </w:t>
      </w:r>
      <w:r w:rsidR="00E30324" w:rsidRPr="00AB12F2">
        <w:rPr>
          <w:color w:val="000000" w:themeColor="text1"/>
        </w:rPr>
        <w:t>–</w:t>
      </w:r>
      <w:r w:rsidR="006F289D" w:rsidRPr="00AB12F2">
        <w:rPr>
          <w:color w:val="000000" w:themeColor="text1"/>
        </w:rPr>
        <w:t xml:space="preserve"> </w:t>
      </w:r>
      <w:r w:rsidR="00E30324" w:rsidRPr="00AB12F2">
        <w:rPr>
          <w:color w:val="000000" w:themeColor="text1"/>
        </w:rPr>
        <w:t xml:space="preserve">4926000 </w:t>
      </w:r>
      <w:r w:rsidR="005B6CCB" w:rsidRPr="00AB12F2">
        <w:rPr>
          <w:color w:val="000000" w:themeColor="text1"/>
        </w:rPr>
        <w:t>Eur</w:t>
      </w:r>
      <w:r w:rsidR="006F289D" w:rsidRPr="00AB12F2">
        <w:rPr>
          <w:color w:val="000000" w:themeColor="text1"/>
        </w:rPr>
        <w:t>.</w:t>
      </w:r>
      <w:r w:rsidR="003C2176" w:rsidRPr="00AB12F2">
        <w:rPr>
          <w:color w:val="000000" w:themeColor="text1"/>
        </w:rPr>
        <w:t xml:space="preserve"> </w:t>
      </w:r>
      <w:r w:rsidR="009850F1" w:rsidRPr="00AB12F2">
        <w:rPr>
          <w:color w:val="000000" w:themeColor="text1"/>
        </w:rPr>
        <w:t xml:space="preserve">Per 2013 – 2020 m. laikotarpį Nacionalinės programos veiksmų plano priemonių įgyvendinimui buvo panaudota </w:t>
      </w:r>
      <w:r w:rsidR="00A55C44" w:rsidRPr="00AB12F2">
        <w:rPr>
          <w:color w:val="000000" w:themeColor="text1"/>
        </w:rPr>
        <w:t>129492,04</w:t>
      </w:r>
      <w:r w:rsidR="00AB12F2" w:rsidRPr="00AB12F2">
        <w:rPr>
          <w:color w:val="000000" w:themeColor="text1"/>
        </w:rPr>
        <w:t xml:space="preserve"> tūkst. eurų, iš jų valstybės biudžeto lėšų – 93095,33 tūkst. eurų, Europos sąjungos finansinės paramos lėšų – 36396,71 tūkst. eurų. 1 pav. pateikiame Nacionalinės programos įgyvendinimui panaudotas lėšos 2013 - 2020 m.</w:t>
      </w:r>
    </w:p>
    <w:p w14:paraId="6723E196" w14:textId="6692312C" w:rsidR="00AB12F2" w:rsidRPr="00AB12F2" w:rsidRDefault="00AB12F2" w:rsidP="009F7731">
      <w:pPr>
        <w:pStyle w:val="bodytext"/>
        <w:tabs>
          <w:tab w:val="left" w:pos="851"/>
        </w:tabs>
        <w:spacing w:before="0" w:beforeAutospacing="0" w:after="0" w:afterAutospacing="0"/>
        <w:jc w:val="both"/>
        <w:rPr>
          <w:color w:val="000000" w:themeColor="text1"/>
        </w:rPr>
      </w:pPr>
    </w:p>
    <w:p w14:paraId="11756497" w14:textId="4B00524B" w:rsidR="00AB12F2" w:rsidRPr="00AB12F2" w:rsidRDefault="00AB12F2" w:rsidP="009F7731">
      <w:pPr>
        <w:pStyle w:val="bodytext"/>
        <w:tabs>
          <w:tab w:val="left" w:pos="851"/>
        </w:tabs>
        <w:spacing w:before="0" w:beforeAutospacing="0" w:after="0" w:afterAutospacing="0"/>
        <w:jc w:val="both"/>
        <w:rPr>
          <w:color w:val="000000" w:themeColor="text1"/>
        </w:rPr>
      </w:pPr>
      <w:r>
        <w:rPr>
          <w:noProof/>
        </w:rPr>
        <w:drawing>
          <wp:inline distT="0" distB="0" distL="0" distR="0" wp14:anchorId="6661F2B1" wp14:editId="56ED2908">
            <wp:extent cx="6120130" cy="2743200"/>
            <wp:effectExtent l="0" t="0" r="13970" b="0"/>
            <wp:docPr id="10" name="Diagrama 10">
              <a:extLst xmlns:a="http://schemas.openxmlformats.org/drawingml/2006/main">
                <a:ext uri="{FF2B5EF4-FFF2-40B4-BE49-F238E27FC236}">
                  <a16:creationId xmlns:a16="http://schemas.microsoft.com/office/drawing/2014/main" id="{31BEBE01-423C-4E2D-89F0-CB8684186E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CC3E11" w14:textId="7D39EF82" w:rsidR="00AB12F2" w:rsidRPr="005273C8" w:rsidRDefault="00AB12F2" w:rsidP="00AB12F2">
      <w:pPr>
        <w:pStyle w:val="bodytext"/>
        <w:tabs>
          <w:tab w:val="left" w:pos="851"/>
        </w:tabs>
        <w:jc w:val="both"/>
        <w:rPr>
          <w:b/>
          <w:color w:val="000000" w:themeColor="text1"/>
        </w:rPr>
      </w:pPr>
      <w:r w:rsidRPr="005273C8">
        <w:rPr>
          <w:b/>
          <w:color w:val="000000" w:themeColor="text1"/>
        </w:rPr>
        <w:t>1 pav. Nacionalinės programos įgyvendinimui panaudotos lėšos 2013 - 2020 m.</w:t>
      </w:r>
      <w:r w:rsidR="005273C8" w:rsidRPr="005273C8">
        <w:rPr>
          <w:b/>
          <w:color w:val="000000" w:themeColor="text1"/>
        </w:rPr>
        <w:t xml:space="preserve"> (tūkst. eurų)</w:t>
      </w:r>
    </w:p>
    <w:p w14:paraId="3F4C1171" w14:textId="18E61CDD" w:rsidR="009850F1" w:rsidRDefault="005F341A" w:rsidP="009F7731">
      <w:pPr>
        <w:pStyle w:val="bodytext"/>
        <w:tabs>
          <w:tab w:val="left" w:pos="851"/>
        </w:tabs>
        <w:spacing w:before="0" w:beforeAutospacing="0" w:after="0" w:afterAutospacing="0"/>
        <w:jc w:val="both"/>
        <w:rPr>
          <w:color w:val="000000" w:themeColor="text1"/>
        </w:rPr>
      </w:pPr>
      <w:r>
        <w:rPr>
          <w:color w:val="000000" w:themeColor="text1"/>
        </w:rPr>
        <w:tab/>
        <w:t xml:space="preserve">Analizuodami pasiektas vertinimo kriterijų reikšmes, galime teigti kad pandeminė COVID-19 ligos situacija šalyje sulėtino vertinimo kriterijų reikšmių augimą arba jos sumažėjo. Ypač stipriai pandemijos įtaka juntama veiklose, susijusiose su neįgaliųjų kultūra ir sportu, bei su dalyvavimu </w:t>
      </w:r>
      <w:r w:rsidRPr="005F341A">
        <w:rPr>
          <w:color w:val="000000" w:themeColor="text1"/>
        </w:rPr>
        <w:t>visuomeninėse organizacijose ir judėjimuose</w:t>
      </w:r>
      <w:r>
        <w:rPr>
          <w:color w:val="000000" w:themeColor="text1"/>
        </w:rPr>
        <w:t xml:space="preserve">. </w:t>
      </w:r>
    </w:p>
    <w:p w14:paraId="2B498EB4" w14:textId="4DCD902D" w:rsidR="002014BE" w:rsidRDefault="005F341A" w:rsidP="0099560D">
      <w:pPr>
        <w:pStyle w:val="bodytext"/>
        <w:tabs>
          <w:tab w:val="left" w:pos="851"/>
        </w:tabs>
        <w:spacing w:after="0"/>
        <w:jc w:val="both"/>
        <w:rPr>
          <w:color w:val="000000" w:themeColor="text1"/>
        </w:rPr>
      </w:pPr>
      <w:r>
        <w:rPr>
          <w:color w:val="000000" w:themeColor="text1"/>
        </w:rPr>
        <w:tab/>
        <w:t xml:space="preserve">Nerimą kelia mažėjantis </w:t>
      </w:r>
      <w:r w:rsidR="0095764A">
        <w:rPr>
          <w:color w:val="000000" w:themeColor="text1"/>
        </w:rPr>
        <w:t xml:space="preserve">neįgalių </w:t>
      </w:r>
      <w:r>
        <w:rPr>
          <w:color w:val="000000" w:themeColor="text1"/>
        </w:rPr>
        <w:t>studentų bei dirbančių neįgaliųjų skaičius</w:t>
      </w:r>
      <w:r w:rsidR="009850F1">
        <w:rPr>
          <w:color w:val="000000" w:themeColor="text1"/>
        </w:rPr>
        <w:t xml:space="preserve">, kurio mažėjimą </w:t>
      </w:r>
      <w:r w:rsidR="0099560D">
        <w:rPr>
          <w:color w:val="000000" w:themeColor="text1"/>
        </w:rPr>
        <w:t xml:space="preserve">iš dalies sietume su </w:t>
      </w:r>
      <w:r w:rsidR="009850F1">
        <w:rPr>
          <w:color w:val="000000" w:themeColor="text1"/>
        </w:rPr>
        <w:t>mažėjančiu neįgaliųjų skaičiumi</w:t>
      </w:r>
      <w:r w:rsidR="0099560D">
        <w:rPr>
          <w:color w:val="000000" w:themeColor="text1"/>
        </w:rPr>
        <w:t xml:space="preserve">, be  su COVID-19 ligos sąlygotais apribojimais dirbantiems neįgaliesiems. </w:t>
      </w:r>
      <w:r w:rsidR="002014BE">
        <w:rPr>
          <w:color w:val="000000" w:themeColor="text1"/>
        </w:rPr>
        <w:t>Neįgaliųjų NVO atliktuose tyrimuose</w:t>
      </w:r>
      <w:r w:rsidR="002014BE">
        <w:rPr>
          <w:rStyle w:val="EndnoteReference"/>
          <w:color w:val="000000" w:themeColor="text1"/>
        </w:rPr>
        <w:endnoteReference w:id="1"/>
      </w:r>
      <w:r w:rsidR="002014BE">
        <w:rPr>
          <w:color w:val="000000" w:themeColor="text1"/>
        </w:rPr>
        <w:t xml:space="preserve"> bei 2020 m. rugsėjo 7 d. Valstybinio audito ataskaitoje Nr. VAE-9 „Asmenų su negalia socialinė integracija“ išryškėja šios pagrindinės kliūtys neįgaliųjų į(si)darbinimui:</w:t>
      </w:r>
    </w:p>
    <w:p w14:paraId="15E50E3F" w14:textId="08BF1E45" w:rsidR="00B55DB3" w:rsidRDefault="00B55DB3" w:rsidP="00E9346C">
      <w:pPr>
        <w:pStyle w:val="bodytext"/>
        <w:numPr>
          <w:ilvl w:val="0"/>
          <w:numId w:val="5"/>
        </w:numPr>
        <w:tabs>
          <w:tab w:val="left" w:pos="360"/>
        </w:tabs>
        <w:spacing w:before="0" w:beforeAutospacing="0" w:after="0" w:afterAutospacing="0"/>
        <w:ind w:left="0" w:firstLine="0"/>
        <w:jc w:val="both"/>
        <w:rPr>
          <w:color w:val="000000" w:themeColor="text1"/>
        </w:rPr>
      </w:pPr>
      <w:r>
        <w:rPr>
          <w:color w:val="000000" w:themeColor="text1"/>
        </w:rPr>
        <w:t>išankstinės neigiamos darbdavių nuostatos neįgaliųjų atžvilgiu;</w:t>
      </w:r>
    </w:p>
    <w:p w14:paraId="6F8DF096" w14:textId="20FB334F" w:rsidR="00B55DB3" w:rsidRDefault="004730FB" w:rsidP="00E9346C">
      <w:pPr>
        <w:pStyle w:val="bodytext"/>
        <w:numPr>
          <w:ilvl w:val="0"/>
          <w:numId w:val="5"/>
        </w:numPr>
        <w:tabs>
          <w:tab w:val="left" w:pos="360"/>
        </w:tabs>
        <w:spacing w:before="0" w:beforeAutospacing="0" w:after="0" w:afterAutospacing="0"/>
        <w:ind w:left="0" w:firstLine="0"/>
        <w:jc w:val="both"/>
        <w:rPr>
          <w:color w:val="000000" w:themeColor="text1"/>
        </w:rPr>
      </w:pPr>
      <w:r w:rsidRPr="004730FB">
        <w:rPr>
          <w:color w:val="000000" w:themeColor="text1"/>
        </w:rPr>
        <w:t>paslaugų</w:t>
      </w:r>
      <w:r>
        <w:rPr>
          <w:color w:val="000000" w:themeColor="text1"/>
        </w:rPr>
        <w:t xml:space="preserve"> (darbo asistentas, transportas kaimiškosiose vietovėse ir pan.)</w:t>
      </w:r>
      <w:r w:rsidRPr="004730FB">
        <w:rPr>
          <w:color w:val="000000" w:themeColor="text1"/>
        </w:rPr>
        <w:t xml:space="preserve"> trūkum</w:t>
      </w:r>
      <w:r>
        <w:rPr>
          <w:color w:val="000000" w:themeColor="text1"/>
        </w:rPr>
        <w:t>as</w:t>
      </w:r>
      <w:r w:rsidR="00B55DB3">
        <w:rPr>
          <w:color w:val="000000" w:themeColor="text1"/>
        </w:rPr>
        <w:t>;</w:t>
      </w:r>
    </w:p>
    <w:p w14:paraId="62EE97D5" w14:textId="6B5B19D7" w:rsidR="00B55DB3" w:rsidRDefault="004730FB" w:rsidP="00E9346C">
      <w:pPr>
        <w:pStyle w:val="bodytext"/>
        <w:numPr>
          <w:ilvl w:val="0"/>
          <w:numId w:val="5"/>
        </w:numPr>
        <w:tabs>
          <w:tab w:val="left" w:pos="360"/>
        </w:tabs>
        <w:spacing w:before="0" w:beforeAutospacing="0" w:after="0" w:afterAutospacing="0"/>
        <w:ind w:left="0" w:firstLine="0"/>
        <w:jc w:val="both"/>
        <w:rPr>
          <w:color w:val="000000" w:themeColor="text1"/>
        </w:rPr>
      </w:pPr>
      <w:r w:rsidRPr="004730FB">
        <w:rPr>
          <w:color w:val="000000" w:themeColor="text1"/>
        </w:rPr>
        <w:lastRenderedPageBreak/>
        <w:t>maž</w:t>
      </w:r>
      <w:r>
        <w:rPr>
          <w:color w:val="000000" w:themeColor="text1"/>
        </w:rPr>
        <w:t>a</w:t>
      </w:r>
      <w:r w:rsidRPr="004730FB">
        <w:rPr>
          <w:color w:val="000000" w:themeColor="text1"/>
        </w:rPr>
        <w:t xml:space="preserve"> darbo pasiūl</w:t>
      </w:r>
      <w:r>
        <w:rPr>
          <w:color w:val="000000" w:themeColor="text1"/>
        </w:rPr>
        <w:t>a</w:t>
      </w:r>
      <w:r w:rsidRPr="004730FB">
        <w:rPr>
          <w:color w:val="000000" w:themeColor="text1"/>
        </w:rPr>
        <w:t xml:space="preserve"> gyvenamojoje vietoje</w:t>
      </w:r>
      <w:r w:rsidR="00B55DB3">
        <w:rPr>
          <w:color w:val="000000" w:themeColor="text1"/>
        </w:rPr>
        <w:t>;</w:t>
      </w:r>
    </w:p>
    <w:p w14:paraId="161C18AD" w14:textId="4B071FC8" w:rsidR="00B55DB3" w:rsidRDefault="004730FB" w:rsidP="00E9346C">
      <w:pPr>
        <w:pStyle w:val="bodytext"/>
        <w:numPr>
          <w:ilvl w:val="0"/>
          <w:numId w:val="5"/>
        </w:numPr>
        <w:tabs>
          <w:tab w:val="left" w:pos="360"/>
        </w:tabs>
        <w:spacing w:before="0" w:beforeAutospacing="0" w:after="0" w:afterAutospacing="0"/>
        <w:ind w:left="0" w:firstLine="0"/>
        <w:jc w:val="both"/>
        <w:rPr>
          <w:color w:val="000000" w:themeColor="text1"/>
        </w:rPr>
      </w:pPr>
      <w:r w:rsidRPr="004730FB">
        <w:rPr>
          <w:color w:val="000000" w:themeColor="text1"/>
        </w:rPr>
        <w:t>nepritaikyta</w:t>
      </w:r>
      <w:r>
        <w:rPr>
          <w:color w:val="000000" w:themeColor="text1"/>
        </w:rPr>
        <w:t xml:space="preserve"> darbo</w:t>
      </w:r>
      <w:r w:rsidRPr="004730FB">
        <w:rPr>
          <w:color w:val="000000" w:themeColor="text1"/>
        </w:rPr>
        <w:t xml:space="preserve"> aplink</w:t>
      </w:r>
      <w:r>
        <w:rPr>
          <w:color w:val="000000" w:themeColor="text1"/>
        </w:rPr>
        <w:t>a</w:t>
      </w:r>
      <w:r w:rsidR="00B55DB3">
        <w:rPr>
          <w:color w:val="000000" w:themeColor="text1"/>
        </w:rPr>
        <w:t xml:space="preserve">; </w:t>
      </w:r>
    </w:p>
    <w:p w14:paraId="2CE17EF0" w14:textId="737E3012" w:rsidR="00B55DB3" w:rsidRDefault="004730FB" w:rsidP="00E9346C">
      <w:pPr>
        <w:pStyle w:val="bodytext"/>
        <w:numPr>
          <w:ilvl w:val="0"/>
          <w:numId w:val="5"/>
        </w:numPr>
        <w:tabs>
          <w:tab w:val="left" w:pos="360"/>
        </w:tabs>
        <w:spacing w:before="0" w:beforeAutospacing="0" w:after="0" w:afterAutospacing="0"/>
        <w:ind w:left="0" w:firstLine="0"/>
        <w:jc w:val="both"/>
        <w:rPr>
          <w:color w:val="000000" w:themeColor="text1"/>
        </w:rPr>
      </w:pPr>
      <w:r w:rsidRPr="004730FB">
        <w:rPr>
          <w:color w:val="000000" w:themeColor="text1"/>
        </w:rPr>
        <w:t>darbo įgūdžių ir kvalifikacijos</w:t>
      </w:r>
      <w:r>
        <w:rPr>
          <w:color w:val="000000" w:themeColor="text1"/>
        </w:rPr>
        <w:t xml:space="preserve"> stoka</w:t>
      </w:r>
      <w:r w:rsidR="00B55DB3">
        <w:rPr>
          <w:color w:val="000000" w:themeColor="text1"/>
        </w:rPr>
        <w:t xml:space="preserve">; </w:t>
      </w:r>
    </w:p>
    <w:p w14:paraId="68B20D86" w14:textId="30E24502" w:rsidR="00B55DB3" w:rsidRDefault="004730FB" w:rsidP="00E9346C">
      <w:pPr>
        <w:pStyle w:val="bodytext"/>
        <w:numPr>
          <w:ilvl w:val="0"/>
          <w:numId w:val="5"/>
        </w:numPr>
        <w:tabs>
          <w:tab w:val="left" w:pos="360"/>
        </w:tabs>
        <w:spacing w:before="0" w:beforeAutospacing="0" w:after="0" w:afterAutospacing="0"/>
        <w:ind w:left="0" w:firstLine="0"/>
        <w:jc w:val="both"/>
        <w:rPr>
          <w:color w:val="000000" w:themeColor="text1"/>
        </w:rPr>
      </w:pPr>
      <w:r>
        <w:rPr>
          <w:color w:val="000000" w:themeColor="text1"/>
        </w:rPr>
        <w:t>neigiamas užimtumo tarnybos darbuotojų požiūris į neįgaliuosius (jie ir taip gauna pensijas, nėra jiems tinkamų darbų ir pan.)</w:t>
      </w:r>
      <w:r w:rsidR="00B55DB3">
        <w:rPr>
          <w:color w:val="000000" w:themeColor="text1"/>
        </w:rPr>
        <w:t xml:space="preserve"> iš dalies lemia </w:t>
      </w:r>
      <w:r>
        <w:rPr>
          <w:color w:val="000000" w:themeColor="text1"/>
        </w:rPr>
        <w:t>maž</w:t>
      </w:r>
      <w:r w:rsidR="00B55DB3">
        <w:rPr>
          <w:color w:val="000000" w:themeColor="text1"/>
        </w:rPr>
        <w:t>ą</w:t>
      </w:r>
      <w:r>
        <w:rPr>
          <w:color w:val="000000" w:themeColor="text1"/>
        </w:rPr>
        <w:t xml:space="preserve"> </w:t>
      </w:r>
      <w:r w:rsidR="00B55DB3">
        <w:rPr>
          <w:color w:val="000000" w:themeColor="text1"/>
        </w:rPr>
        <w:t>besikreipiančių</w:t>
      </w:r>
      <w:r>
        <w:rPr>
          <w:color w:val="000000" w:themeColor="text1"/>
        </w:rPr>
        <w:t xml:space="preserve"> į Užimtumo tarnyba </w:t>
      </w:r>
      <w:r w:rsidR="00B55DB3">
        <w:rPr>
          <w:color w:val="000000" w:themeColor="text1"/>
        </w:rPr>
        <w:t>neįgaliųjų dalį, lyginant su visais besikreipiančiaisiais;</w:t>
      </w:r>
    </w:p>
    <w:p w14:paraId="6848B49C" w14:textId="77777777" w:rsidR="00B55DB3" w:rsidRDefault="00B55DB3" w:rsidP="00E9346C">
      <w:pPr>
        <w:pStyle w:val="bodytext"/>
        <w:numPr>
          <w:ilvl w:val="0"/>
          <w:numId w:val="5"/>
        </w:numPr>
        <w:tabs>
          <w:tab w:val="left" w:pos="360"/>
        </w:tabs>
        <w:spacing w:before="0" w:beforeAutospacing="0" w:after="0" w:afterAutospacing="0"/>
        <w:ind w:left="0" w:firstLine="0"/>
        <w:jc w:val="both"/>
        <w:rPr>
          <w:color w:val="000000" w:themeColor="text1"/>
        </w:rPr>
      </w:pPr>
      <w:r>
        <w:rPr>
          <w:color w:val="000000" w:themeColor="text1"/>
        </w:rPr>
        <w:t xml:space="preserve">savivaldybės ir Užimtumo tarnyba neturi informacijos apie nedirbančius neįgaliuosius; </w:t>
      </w:r>
    </w:p>
    <w:p w14:paraId="42C65B8E" w14:textId="0108278F" w:rsidR="00B55DB3" w:rsidRDefault="00B55DB3" w:rsidP="00E9346C">
      <w:pPr>
        <w:pStyle w:val="bodytext"/>
        <w:numPr>
          <w:ilvl w:val="0"/>
          <w:numId w:val="5"/>
        </w:numPr>
        <w:tabs>
          <w:tab w:val="left" w:pos="360"/>
        </w:tabs>
        <w:spacing w:before="0" w:beforeAutospacing="0" w:after="0" w:afterAutospacing="0"/>
        <w:ind w:left="0" w:firstLine="0"/>
        <w:jc w:val="both"/>
        <w:rPr>
          <w:color w:val="000000" w:themeColor="text1"/>
        </w:rPr>
      </w:pPr>
      <w:r>
        <w:rPr>
          <w:color w:val="000000" w:themeColor="text1"/>
        </w:rPr>
        <w:t>Neįgalumo ir darbingumo nustatymo tarnyboje</w:t>
      </w:r>
      <w:r w:rsidRPr="00B55DB3">
        <w:rPr>
          <w:color w:val="000000" w:themeColor="text1"/>
        </w:rPr>
        <w:t xml:space="preserve"> nėra numatyta asmenims</w:t>
      </w:r>
      <w:r>
        <w:rPr>
          <w:color w:val="000000" w:themeColor="text1"/>
        </w:rPr>
        <w:t xml:space="preserve"> </w:t>
      </w:r>
      <w:r w:rsidRPr="00B55DB3">
        <w:rPr>
          <w:color w:val="000000" w:themeColor="text1"/>
        </w:rPr>
        <w:t xml:space="preserve">teikti informavimo paslaugas apie </w:t>
      </w:r>
      <w:r>
        <w:rPr>
          <w:color w:val="000000" w:themeColor="text1"/>
        </w:rPr>
        <w:t>Užimtumo tarnybos</w:t>
      </w:r>
      <w:r w:rsidRPr="00B55DB3">
        <w:rPr>
          <w:color w:val="000000" w:themeColor="text1"/>
        </w:rPr>
        <w:t xml:space="preserve"> vykdomas užimtumo rėmimo priemones ir teikiamas</w:t>
      </w:r>
      <w:r>
        <w:rPr>
          <w:color w:val="000000" w:themeColor="text1"/>
        </w:rPr>
        <w:t xml:space="preserve"> </w:t>
      </w:r>
      <w:r w:rsidRPr="00B55DB3">
        <w:rPr>
          <w:color w:val="000000" w:themeColor="text1"/>
        </w:rPr>
        <w:t>darbo rinkos paslaugas</w:t>
      </w:r>
      <w:r>
        <w:rPr>
          <w:color w:val="000000" w:themeColor="text1"/>
        </w:rPr>
        <w:t>;</w:t>
      </w:r>
    </w:p>
    <w:p w14:paraId="6220DE72" w14:textId="163CE10F" w:rsidR="004730FB" w:rsidRDefault="00B55DB3" w:rsidP="00E9346C">
      <w:pPr>
        <w:pStyle w:val="bodytext"/>
        <w:numPr>
          <w:ilvl w:val="0"/>
          <w:numId w:val="5"/>
        </w:numPr>
        <w:tabs>
          <w:tab w:val="left" w:pos="360"/>
        </w:tabs>
        <w:spacing w:before="0" w:beforeAutospacing="0" w:after="0" w:afterAutospacing="0"/>
        <w:ind w:left="0" w:firstLine="0"/>
        <w:jc w:val="both"/>
        <w:rPr>
          <w:color w:val="000000" w:themeColor="text1"/>
        </w:rPr>
      </w:pPr>
      <w:r w:rsidRPr="00B55DB3">
        <w:rPr>
          <w:color w:val="000000" w:themeColor="text1"/>
        </w:rPr>
        <w:t xml:space="preserve">socialinių išmokų mokėjimas </w:t>
      </w:r>
      <w:r>
        <w:rPr>
          <w:color w:val="000000" w:themeColor="text1"/>
        </w:rPr>
        <w:t xml:space="preserve">neįgaliesiems </w:t>
      </w:r>
      <w:r w:rsidRPr="00B55DB3">
        <w:rPr>
          <w:color w:val="000000" w:themeColor="text1"/>
        </w:rPr>
        <w:t>nėra siejamas su aktyviu jų</w:t>
      </w:r>
      <w:r>
        <w:rPr>
          <w:color w:val="000000" w:themeColor="text1"/>
        </w:rPr>
        <w:t xml:space="preserve"> </w:t>
      </w:r>
      <w:r w:rsidRPr="00B55DB3">
        <w:rPr>
          <w:color w:val="000000" w:themeColor="text1"/>
        </w:rPr>
        <w:t xml:space="preserve">dalyvavimu užimtumo rėmimo priemonėse užsiregistravus </w:t>
      </w:r>
      <w:r>
        <w:rPr>
          <w:color w:val="000000" w:themeColor="text1"/>
        </w:rPr>
        <w:t>Užimtumo tarnyboje</w:t>
      </w:r>
    </w:p>
    <w:p w14:paraId="65CF73E5" w14:textId="03ED9A4F" w:rsidR="005F341A" w:rsidRDefault="0099560D" w:rsidP="0099560D">
      <w:pPr>
        <w:pStyle w:val="bodytext"/>
        <w:tabs>
          <w:tab w:val="left" w:pos="851"/>
        </w:tabs>
        <w:spacing w:after="0"/>
        <w:jc w:val="both"/>
        <w:rPr>
          <w:color w:val="000000" w:themeColor="text1"/>
        </w:rPr>
      </w:pPr>
      <w:r>
        <w:rPr>
          <w:color w:val="000000" w:themeColor="text1"/>
        </w:rPr>
        <w:t xml:space="preserve">Kadangi neįgalių studentų skaičius mažėjo nepaisant jiems teikiamų </w:t>
      </w:r>
      <w:r w:rsidR="002D1856">
        <w:rPr>
          <w:color w:val="000000" w:themeColor="text1"/>
        </w:rPr>
        <w:t>finansinės</w:t>
      </w:r>
      <w:r>
        <w:rPr>
          <w:color w:val="000000" w:themeColor="text1"/>
        </w:rPr>
        <w:t xml:space="preserve"> pagalbos priemonių,2020 m. Departamento užsakymu buvo atliktas tyrimas „</w:t>
      </w:r>
      <w:r w:rsidR="002D1856">
        <w:rPr>
          <w:color w:val="000000" w:themeColor="text1"/>
        </w:rPr>
        <w:t>D</w:t>
      </w:r>
      <w:r w:rsidR="002D1856" w:rsidRPr="0099560D">
        <w:rPr>
          <w:color w:val="000000" w:themeColor="text1"/>
        </w:rPr>
        <w:t>ėl</w:t>
      </w:r>
      <w:r w:rsidRPr="0099560D">
        <w:rPr>
          <w:color w:val="000000" w:themeColor="text1"/>
        </w:rPr>
        <w:t xml:space="preserve"> </w:t>
      </w:r>
      <w:r w:rsidR="002D1856" w:rsidRPr="0099560D">
        <w:rPr>
          <w:color w:val="000000" w:themeColor="text1"/>
        </w:rPr>
        <w:t>finansinės</w:t>
      </w:r>
      <w:r w:rsidRPr="0099560D">
        <w:rPr>
          <w:color w:val="000000" w:themeColor="text1"/>
        </w:rPr>
        <w:t xml:space="preserve"> pagalbos </w:t>
      </w:r>
      <w:r w:rsidR="002D1856" w:rsidRPr="0099560D">
        <w:rPr>
          <w:color w:val="000000" w:themeColor="text1"/>
        </w:rPr>
        <w:t>priemonių</w:t>
      </w:r>
      <w:r w:rsidRPr="0099560D">
        <w:rPr>
          <w:color w:val="000000" w:themeColor="text1"/>
        </w:rPr>
        <w:t>̨, skiriamų studentams turintiems negalią siekiant didinti studijų prieinamumą, panaudojimo mažėjimo</w:t>
      </w:r>
      <w:r>
        <w:rPr>
          <w:color w:val="000000" w:themeColor="text1"/>
        </w:rPr>
        <w:t>“</w:t>
      </w:r>
      <w:r>
        <w:rPr>
          <w:rStyle w:val="EndnoteReference"/>
          <w:color w:val="000000" w:themeColor="text1"/>
        </w:rPr>
        <w:endnoteReference w:id="2"/>
      </w:r>
      <w:r>
        <w:rPr>
          <w:color w:val="000000" w:themeColor="text1"/>
        </w:rPr>
        <w:t xml:space="preserve">. </w:t>
      </w:r>
      <w:r w:rsidRPr="0099560D">
        <w:rPr>
          <w:color w:val="000000" w:themeColor="text1"/>
        </w:rPr>
        <w:t>Tyrimas atskleidė, jog finansinė parama, teikiama aukštojoje mokykloje, nebuvo vienu</w:t>
      </w:r>
      <w:r>
        <w:rPr>
          <w:color w:val="000000" w:themeColor="text1"/>
        </w:rPr>
        <w:t xml:space="preserve"> </w:t>
      </w:r>
      <w:r w:rsidRPr="0099560D">
        <w:rPr>
          <w:color w:val="000000" w:themeColor="text1"/>
        </w:rPr>
        <w:t>pagrindinių motyvacinių veiksnių, dėl kurio asmenys su negalia nusprendžia siekti aukštojo</w:t>
      </w:r>
      <w:r>
        <w:rPr>
          <w:color w:val="000000" w:themeColor="text1"/>
        </w:rPr>
        <w:t xml:space="preserve"> </w:t>
      </w:r>
      <w:r w:rsidRPr="0099560D">
        <w:rPr>
          <w:color w:val="000000" w:themeColor="text1"/>
        </w:rPr>
        <w:t>išsilavinimo</w:t>
      </w:r>
      <w:r>
        <w:rPr>
          <w:color w:val="000000" w:themeColor="text1"/>
        </w:rPr>
        <w:t xml:space="preserve">. Pagrindinės priežastys, lemiančios </w:t>
      </w:r>
      <w:r w:rsidR="0095764A">
        <w:rPr>
          <w:color w:val="000000" w:themeColor="text1"/>
        </w:rPr>
        <w:t>neįgalių studentų skaičiaus mažėjimą (ar stagnaciją) tyrime buvo įvardintos šios:</w:t>
      </w:r>
    </w:p>
    <w:p w14:paraId="56EDD7D7" w14:textId="4A581019" w:rsidR="0095764A" w:rsidRPr="0095764A" w:rsidRDefault="0095764A" w:rsidP="00B81EF0">
      <w:pPr>
        <w:pStyle w:val="bodytext"/>
        <w:numPr>
          <w:ilvl w:val="0"/>
          <w:numId w:val="8"/>
        </w:numPr>
        <w:tabs>
          <w:tab w:val="left" w:pos="360"/>
        </w:tabs>
        <w:spacing w:before="0" w:beforeAutospacing="0" w:after="0" w:afterAutospacing="0"/>
        <w:ind w:left="0" w:firstLine="0"/>
        <w:jc w:val="both"/>
        <w:rPr>
          <w:color w:val="000000" w:themeColor="text1"/>
        </w:rPr>
      </w:pPr>
      <w:r>
        <w:rPr>
          <w:color w:val="000000" w:themeColor="text1"/>
        </w:rPr>
        <w:t>n</w:t>
      </w:r>
      <w:r w:rsidRPr="0095764A">
        <w:rPr>
          <w:color w:val="000000" w:themeColor="text1"/>
        </w:rPr>
        <w:t>epakankami aukštųjų mokyklų fizinės aplinkos pritaikymo tempai</w:t>
      </w:r>
      <w:r>
        <w:rPr>
          <w:color w:val="000000" w:themeColor="text1"/>
        </w:rPr>
        <w:t>;</w:t>
      </w:r>
    </w:p>
    <w:p w14:paraId="7D7E3BA1" w14:textId="452496AC" w:rsidR="0095764A" w:rsidRPr="0095764A" w:rsidRDefault="0095764A" w:rsidP="00B81EF0">
      <w:pPr>
        <w:pStyle w:val="bodytext"/>
        <w:numPr>
          <w:ilvl w:val="0"/>
          <w:numId w:val="8"/>
        </w:numPr>
        <w:tabs>
          <w:tab w:val="left" w:pos="360"/>
        </w:tabs>
        <w:spacing w:before="0" w:beforeAutospacing="0" w:after="0" w:afterAutospacing="0"/>
        <w:ind w:left="0" w:firstLine="0"/>
        <w:jc w:val="both"/>
        <w:rPr>
          <w:color w:val="000000" w:themeColor="text1"/>
        </w:rPr>
      </w:pPr>
      <w:r>
        <w:rPr>
          <w:color w:val="000000" w:themeColor="text1"/>
        </w:rPr>
        <w:t>m</w:t>
      </w:r>
      <w:r w:rsidRPr="0095764A">
        <w:rPr>
          <w:color w:val="000000" w:themeColor="text1"/>
        </w:rPr>
        <w:t>okymo medžiagos pritaikytos klausos negalią turintiems, neregiams ir silpnaregiams</w:t>
      </w:r>
      <w:r>
        <w:rPr>
          <w:color w:val="000000" w:themeColor="text1"/>
        </w:rPr>
        <w:t xml:space="preserve"> trūkumas. Neįgaliems studentams</w:t>
      </w:r>
      <w:r w:rsidRPr="0095764A">
        <w:rPr>
          <w:color w:val="000000" w:themeColor="text1"/>
        </w:rPr>
        <w:t xml:space="preserve"> teikiamų paslaugų (gestų kalbos vertėjų, teksto skaitmenintojų ir pan.) pasiūla netenkina paklausos;</w:t>
      </w:r>
    </w:p>
    <w:p w14:paraId="6EC2783C" w14:textId="27B51DF3" w:rsidR="0095764A" w:rsidRPr="0095764A" w:rsidRDefault="0095764A" w:rsidP="00B81EF0">
      <w:pPr>
        <w:pStyle w:val="bodytext"/>
        <w:numPr>
          <w:ilvl w:val="0"/>
          <w:numId w:val="8"/>
        </w:numPr>
        <w:tabs>
          <w:tab w:val="left" w:pos="360"/>
        </w:tabs>
        <w:spacing w:before="0" w:beforeAutospacing="0" w:after="0" w:afterAutospacing="0"/>
        <w:ind w:left="0" w:firstLine="0"/>
        <w:jc w:val="both"/>
        <w:rPr>
          <w:color w:val="000000" w:themeColor="text1"/>
        </w:rPr>
      </w:pPr>
      <w:r>
        <w:rPr>
          <w:color w:val="000000" w:themeColor="text1"/>
        </w:rPr>
        <w:t xml:space="preserve">dėl tausojančio pedagogų požiūrio ir/ar mokymosi namuose įgytas žemesnio nei bendraamžių lygmens </w:t>
      </w:r>
      <w:r w:rsidRPr="0095764A">
        <w:rPr>
          <w:color w:val="000000" w:themeColor="text1"/>
        </w:rPr>
        <w:t>išsilavinimas ir neįgalių abiturientų atleidimas nuo valstybinių egzaminų apsunkiną įstojimo galimybes į norimą profesiją;</w:t>
      </w:r>
    </w:p>
    <w:p w14:paraId="358B939A" w14:textId="6A4AC878" w:rsidR="0095764A" w:rsidRPr="0095764A" w:rsidRDefault="0095764A" w:rsidP="00B81EF0">
      <w:pPr>
        <w:pStyle w:val="bodytext"/>
        <w:numPr>
          <w:ilvl w:val="0"/>
          <w:numId w:val="8"/>
        </w:numPr>
        <w:tabs>
          <w:tab w:val="left" w:pos="360"/>
        </w:tabs>
        <w:spacing w:before="0" w:beforeAutospacing="0" w:after="0" w:afterAutospacing="0"/>
        <w:ind w:left="0" w:firstLine="0"/>
        <w:jc w:val="both"/>
        <w:rPr>
          <w:color w:val="000000" w:themeColor="text1"/>
        </w:rPr>
      </w:pPr>
      <w:r>
        <w:rPr>
          <w:color w:val="000000" w:themeColor="text1"/>
        </w:rPr>
        <w:t>d</w:t>
      </w:r>
      <w:r w:rsidRPr="0095764A">
        <w:rPr>
          <w:color w:val="000000" w:themeColor="text1"/>
        </w:rPr>
        <w:t>arbo vietų nepritaikymas, nemotyvuoja abiturientų siekti norimo išsilavinimo;</w:t>
      </w:r>
    </w:p>
    <w:p w14:paraId="46AA53E3" w14:textId="51F99196" w:rsidR="0095764A" w:rsidRPr="0095764A" w:rsidRDefault="0095764A" w:rsidP="00B81EF0">
      <w:pPr>
        <w:pStyle w:val="bodytext"/>
        <w:numPr>
          <w:ilvl w:val="0"/>
          <w:numId w:val="8"/>
        </w:numPr>
        <w:tabs>
          <w:tab w:val="left" w:pos="360"/>
        </w:tabs>
        <w:spacing w:before="0" w:beforeAutospacing="0" w:after="0" w:afterAutospacing="0"/>
        <w:ind w:left="0" w:firstLine="0"/>
        <w:jc w:val="both"/>
        <w:rPr>
          <w:color w:val="000000" w:themeColor="text1"/>
        </w:rPr>
      </w:pPr>
      <w:r>
        <w:rPr>
          <w:color w:val="000000" w:themeColor="text1"/>
        </w:rPr>
        <w:t>b</w:t>
      </w:r>
      <w:r w:rsidRPr="0095764A">
        <w:rPr>
          <w:color w:val="000000" w:themeColor="text1"/>
        </w:rPr>
        <w:t xml:space="preserve">endra aplinkinių ir ypač </w:t>
      </w:r>
      <w:r>
        <w:rPr>
          <w:color w:val="000000" w:themeColor="text1"/>
        </w:rPr>
        <w:t>pedagogų</w:t>
      </w:r>
      <w:r w:rsidRPr="0095764A">
        <w:rPr>
          <w:color w:val="000000" w:themeColor="text1"/>
        </w:rPr>
        <w:t xml:space="preserve"> gimnazijose, bendrojo lavinimo mokyklose nuostata, kad nėra prasmės siekti aukštojo mokslo</w:t>
      </w:r>
    </w:p>
    <w:p w14:paraId="4E638309" w14:textId="6E531A34" w:rsidR="0095764A" w:rsidRDefault="0095764A" w:rsidP="00B81EF0">
      <w:pPr>
        <w:pStyle w:val="bodytext"/>
        <w:numPr>
          <w:ilvl w:val="0"/>
          <w:numId w:val="8"/>
        </w:numPr>
        <w:tabs>
          <w:tab w:val="left" w:pos="360"/>
        </w:tabs>
        <w:spacing w:before="0" w:beforeAutospacing="0" w:after="0" w:afterAutospacing="0"/>
        <w:ind w:left="0" w:firstLine="0"/>
        <w:jc w:val="both"/>
        <w:rPr>
          <w:color w:val="000000" w:themeColor="text1"/>
        </w:rPr>
      </w:pPr>
      <w:r w:rsidRPr="0095764A">
        <w:rPr>
          <w:color w:val="000000" w:themeColor="text1"/>
        </w:rPr>
        <w:t>tėvų hipergloba, neskatinanti siekti aukštojo mokslo</w:t>
      </w:r>
    </w:p>
    <w:p w14:paraId="1D017E6F" w14:textId="77777777" w:rsidR="009850F1" w:rsidRDefault="009850F1" w:rsidP="009F7731">
      <w:pPr>
        <w:pStyle w:val="bodytext"/>
        <w:tabs>
          <w:tab w:val="left" w:pos="851"/>
        </w:tabs>
        <w:spacing w:before="0" w:beforeAutospacing="0" w:after="0" w:afterAutospacing="0"/>
        <w:jc w:val="both"/>
        <w:rPr>
          <w:color w:val="000000" w:themeColor="text1"/>
        </w:rPr>
      </w:pPr>
    </w:p>
    <w:p w14:paraId="09EB219A" w14:textId="1F8CF3A3" w:rsidR="005273C8" w:rsidRDefault="005273C8" w:rsidP="009F7731">
      <w:pPr>
        <w:pStyle w:val="bodytext"/>
        <w:tabs>
          <w:tab w:val="left" w:pos="851"/>
        </w:tabs>
        <w:spacing w:before="0" w:beforeAutospacing="0" w:after="0" w:afterAutospacing="0"/>
        <w:jc w:val="both"/>
        <w:rPr>
          <w:color w:val="000000" w:themeColor="text1"/>
        </w:rPr>
      </w:pPr>
      <w:r>
        <w:rPr>
          <w:color w:val="000000" w:themeColor="text1"/>
        </w:rPr>
        <w:tab/>
        <w:t>Nacionalinės programos strateginiam tikslui „</w:t>
      </w:r>
      <w:r w:rsidR="00DD2C8D">
        <w:rPr>
          <w:color w:val="000000" w:themeColor="text1"/>
        </w:rPr>
        <w:t>S</w:t>
      </w:r>
      <w:r w:rsidRPr="005273C8">
        <w:rPr>
          <w:color w:val="000000" w:themeColor="text1"/>
        </w:rPr>
        <w:t>ukurti palankią aplinką ir sąlygas oriam ir visaverčiam neįgaliųjų gyvenimui Lietuvoje, užtikrinti lygias galimybes ir neįgaliųjų gyvenimo kokybę</w:t>
      </w:r>
      <w:r>
        <w:rPr>
          <w:color w:val="000000" w:themeColor="text1"/>
        </w:rPr>
        <w:t>“</w:t>
      </w:r>
      <w:r w:rsidRPr="005273C8">
        <w:rPr>
          <w:color w:val="000000" w:themeColor="text1"/>
        </w:rPr>
        <w:t xml:space="preserve"> </w:t>
      </w:r>
      <w:r>
        <w:rPr>
          <w:color w:val="000000" w:themeColor="text1"/>
        </w:rPr>
        <w:t xml:space="preserve">buvo numatyti pasiekti du vertinimo kriterijai: </w:t>
      </w:r>
      <w:r w:rsidR="009850F1" w:rsidRPr="009850F1">
        <w:rPr>
          <w:color w:val="000000" w:themeColor="text1"/>
        </w:rPr>
        <w:t>neįgaliųjų gyvenimo kokybės indeksas</w:t>
      </w:r>
      <w:r>
        <w:rPr>
          <w:color w:val="000000" w:themeColor="text1"/>
        </w:rPr>
        <w:t xml:space="preserve"> ir lygių galimybių indeksas. </w:t>
      </w:r>
    </w:p>
    <w:p w14:paraId="1A8D1024" w14:textId="74AC5E3B" w:rsidR="005273C8" w:rsidRDefault="005273C8" w:rsidP="009F7731">
      <w:pPr>
        <w:pStyle w:val="bodytext"/>
        <w:tabs>
          <w:tab w:val="left" w:pos="851"/>
        </w:tabs>
        <w:spacing w:before="0" w:beforeAutospacing="0" w:after="0" w:afterAutospacing="0"/>
        <w:jc w:val="both"/>
        <w:rPr>
          <w:color w:val="000000" w:themeColor="text1"/>
        </w:rPr>
      </w:pPr>
    </w:p>
    <w:p w14:paraId="531EBD33" w14:textId="7BF3C358" w:rsidR="009850F1" w:rsidRDefault="00877709" w:rsidP="009850F1">
      <w:pPr>
        <w:jc w:val="both"/>
        <w:rPr>
          <w:rFonts w:ascii="Times New Roman" w:hAnsi="Times New Roman" w:cs="Times New Roman"/>
          <w:sz w:val="24"/>
          <w:szCs w:val="24"/>
        </w:rPr>
      </w:pPr>
      <w:r>
        <w:rPr>
          <w:noProof/>
        </w:rPr>
        <w:drawing>
          <wp:inline distT="0" distB="0" distL="0" distR="0" wp14:anchorId="519A0453" wp14:editId="33DBF373">
            <wp:extent cx="5417820" cy="2103755"/>
            <wp:effectExtent l="0" t="0" r="0" b="0"/>
            <wp:docPr id="11" name="Picture 11" descr="Document2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cument2 - Word"/>
                    <pic:cNvPicPr/>
                  </pic:nvPicPr>
                  <pic:blipFill rotWithShape="1">
                    <a:blip r:embed="rId9">
                      <a:extLst>
                        <a:ext uri="{28A0092B-C50C-407E-A947-70E740481C1C}">
                          <a14:useLocalDpi xmlns:a14="http://schemas.microsoft.com/office/drawing/2010/main" val="0"/>
                        </a:ext>
                      </a:extLst>
                    </a:blip>
                    <a:srcRect l="27141" t="28678" r="29564" b="30099"/>
                    <a:stretch/>
                  </pic:blipFill>
                  <pic:spPr bwMode="auto">
                    <a:xfrm>
                      <a:off x="0" y="0"/>
                      <a:ext cx="5432566" cy="2109481"/>
                    </a:xfrm>
                    <a:prstGeom prst="rect">
                      <a:avLst/>
                    </a:prstGeom>
                    <a:ln>
                      <a:noFill/>
                    </a:ln>
                    <a:extLst>
                      <a:ext uri="{53640926-AAD7-44D8-BBD7-CCE9431645EC}">
                        <a14:shadowObscured xmlns:a14="http://schemas.microsoft.com/office/drawing/2010/main"/>
                      </a:ext>
                    </a:extLst>
                  </pic:spPr>
                </pic:pic>
              </a:graphicData>
            </a:graphic>
          </wp:inline>
        </w:drawing>
      </w:r>
    </w:p>
    <w:p w14:paraId="2A9577C2" w14:textId="3AEF78F4" w:rsidR="005273C8" w:rsidRPr="005273C8" w:rsidRDefault="005273C8" w:rsidP="009850F1">
      <w:pPr>
        <w:jc w:val="both"/>
        <w:rPr>
          <w:rFonts w:ascii="Times New Roman" w:hAnsi="Times New Roman" w:cs="Times New Roman"/>
          <w:b/>
          <w:sz w:val="24"/>
          <w:szCs w:val="24"/>
        </w:rPr>
      </w:pPr>
      <w:r w:rsidRPr="005273C8">
        <w:rPr>
          <w:rFonts w:ascii="Times New Roman" w:hAnsi="Times New Roman" w:cs="Times New Roman"/>
          <w:b/>
          <w:sz w:val="24"/>
          <w:szCs w:val="24"/>
        </w:rPr>
        <w:lastRenderedPageBreak/>
        <w:t>2 pav. Nacionalinės programos strateginio tikslo vertinimo kriterijų pokytis 2019 – 2020 m.</w:t>
      </w:r>
    </w:p>
    <w:p w14:paraId="6CF9378F" w14:textId="4E215273" w:rsidR="005273C8" w:rsidRDefault="005273C8" w:rsidP="005273C8">
      <w:pPr>
        <w:pStyle w:val="bodytext"/>
        <w:tabs>
          <w:tab w:val="left" w:pos="851"/>
        </w:tabs>
        <w:spacing w:before="0" w:beforeAutospacing="0" w:after="0" w:afterAutospacing="0"/>
        <w:jc w:val="both"/>
        <w:rPr>
          <w:color w:val="000000" w:themeColor="text1"/>
        </w:rPr>
      </w:pPr>
      <w:r>
        <w:tab/>
      </w:r>
      <w:r w:rsidR="009850F1" w:rsidRPr="0073375D">
        <w:t xml:space="preserve">Gyvenimo kokybės indeksas apskaičiuojamas pasitelkiant pagrindinius aspektus, turinčius įtakos neįgaliųjų gyvenimo kokybei. Indeksas </w:t>
      </w:r>
      <w:r w:rsidR="009850F1">
        <w:t>gaunama</w:t>
      </w:r>
      <w:r w:rsidR="009850F1" w:rsidRPr="0073375D">
        <w:t xml:space="preserve">s įtraukiant šių rodiklių visumą: neįgaliųjų poreikių tenkinimo rodikliai, fizinės ir informacinės aplinkos prieinamumo rodikliai, neįgaliųjų užimtumo ir dalyvavimo kultūros ir sporto veiklose rodikliai, neįgaliųjų teisių gynimo bei socialinio aktyvumo rodikliai. </w:t>
      </w:r>
      <w:r>
        <w:rPr>
          <w:color w:val="000000" w:themeColor="text1"/>
        </w:rPr>
        <w:t>Departamento</w:t>
      </w:r>
      <w:r w:rsidRPr="009850F1">
        <w:rPr>
          <w:color w:val="000000" w:themeColor="text1"/>
        </w:rPr>
        <w:t xml:space="preserve"> duomenimis, neįgaliųjų gyvenimo kokybės indekso augimo dinamika nuo 2017 m. yra nežymi ir augo nuo 48,76 2017 m.</w:t>
      </w:r>
      <w:r>
        <w:rPr>
          <w:color w:val="000000" w:themeColor="text1"/>
        </w:rPr>
        <w:t xml:space="preserve"> </w:t>
      </w:r>
      <w:r w:rsidRPr="009850F1">
        <w:rPr>
          <w:color w:val="000000" w:themeColor="text1"/>
        </w:rPr>
        <w:t>iki 50,64 2020 m.</w:t>
      </w:r>
    </w:p>
    <w:p w14:paraId="7533C413" w14:textId="77777777" w:rsidR="009850F1" w:rsidRPr="005273C8" w:rsidRDefault="009850F1" w:rsidP="005273C8">
      <w:pPr>
        <w:spacing w:after="0" w:line="240" w:lineRule="auto"/>
        <w:ind w:firstLine="851"/>
        <w:jc w:val="both"/>
        <w:rPr>
          <w:rFonts w:ascii="Times New Roman" w:eastAsia="Times New Roman" w:hAnsi="Times New Roman" w:cs="Times New Roman"/>
          <w:sz w:val="24"/>
          <w:szCs w:val="24"/>
          <w:lang w:eastAsia="lt-LT"/>
        </w:rPr>
      </w:pPr>
      <w:r w:rsidRPr="005273C8">
        <w:rPr>
          <w:rFonts w:ascii="Times New Roman" w:eastAsia="Times New Roman" w:hAnsi="Times New Roman" w:cs="Times New Roman"/>
          <w:sz w:val="24"/>
          <w:szCs w:val="24"/>
          <w:lang w:eastAsia="lt-LT"/>
        </w:rPr>
        <w:t xml:space="preserve">2020 m. gyvenimo kokybės indeksas vertinamas teigiamai ir yra laikomas pasiektu. Atkreipiame dėmesį, jog lyginant 2020 m. gyvenimo kokybės indeksą su 2019 m. matyti, jog 2020 m. indeksas 1,36 balu yra mažesnis. Departamento nuomone, daugiausiai įtakos indekso mažėjimui turėjo rodikliai, susiję su kultūros veikloje dalyvaujančių neįgaliųjų skaičiumi bei sporto veikloje dalyvaujančių asmenų skaičiumi. Galimybių apribojimui dalyvauti aktyviose tam tikrose veiklose turėjo COVID-19 pandemija, dėl kurios buvo sustabdyta daugybė kultūros bei sporto veiklų, renginių bei užsiėmimų. </w:t>
      </w:r>
    </w:p>
    <w:p w14:paraId="5DF60336" w14:textId="77777777" w:rsidR="009850F1" w:rsidRPr="005273C8" w:rsidRDefault="009850F1" w:rsidP="005273C8">
      <w:pPr>
        <w:spacing w:after="0" w:line="240" w:lineRule="auto"/>
        <w:ind w:firstLine="851"/>
        <w:jc w:val="both"/>
        <w:rPr>
          <w:rFonts w:ascii="Times New Roman" w:eastAsia="Times New Roman" w:hAnsi="Times New Roman" w:cs="Times New Roman"/>
          <w:sz w:val="24"/>
          <w:szCs w:val="24"/>
          <w:lang w:eastAsia="lt-LT"/>
        </w:rPr>
      </w:pPr>
      <w:r w:rsidRPr="005273C8">
        <w:rPr>
          <w:rFonts w:ascii="Times New Roman" w:eastAsia="Times New Roman" w:hAnsi="Times New Roman" w:cs="Times New Roman"/>
          <w:sz w:val="24"/>
          <w:szCs w:val="24"/>
          <w:lang w:eastAsia="lt-LT"/>
        </w:rPr>
        <w:t>Lygių galimybių indeksas apskaičiuojamas pasitelkiant pagrindinius aspektus, turinčius įtakos neįgaliųjų lygių galimybių užtikrinimui. Indeksas apskaičiuojamas įtraukiant šių rodiklių visumą: neįgaliųjų lygių galimybių užtikrinimo švietimo srityje rodikliai, užimtumo darbo rinkoje rodikliai, vartotojų teisių apsaugos srities bei dalyvavimo visuomeniniame gyvenime rodikliai.</w:t>
      </w:r>
    </w:p>
    <w:p w14:paraId="41E627A0" w14:textId="1D8A93F9" w:rsidR="009850F1" w:rsidRPr="005273C8" w:rsidRDefault="009850F1" w:rsidP="005273C8">
      <w:pPr>
        <w:spacing w:line="240" w:lineRule="auto"/>
        <w:ind w:firstLine="851"/>
        <w:rPr>
          <w:rFonts w:ascii="Times New Roman" w:eastAsia="Times New Roman" w:hAnsi="Times New Roman" w:cs="Times New Roman"/>
          <w:sz w:val="24"/>
          <w:szCs w:val="24"/>
          <w:lang w:eastAsia="lt-LT"/>
        </w:rPr>
      </w:pPr>
      <w:r w:rsidRPr="005273C8">
        <w:rPr>
          <w:rFonts w:ascii="Times New Roman" w:eastAsia="Times New Roman" w:hAnsi="Times New Roman" w:cs="Times New Roman"/>
          <w:sz w:val="24"/>
          <w:szCs w:val="24"/>
          <w:lang w:eastAsia="lt-LT"/>
        </w:rPr>
        <w:t>2020 m. lygių galimybių indeksas laikomas nepasiektu. Atkreipiame dėmesį, jog lyginant 2020 m. lygių galimybių indeksą su 2019 m. matyti, jog</w:t>
      </w:r>
      <w:r w:rsidR="005273C8">
        <w:rPr>
          <w:rFonts w:ascii="Times New Roman" w:eastAsia="Times New Roman" w:hAnsi="Times New Roman" w:cs="Times New Roman"/>
          <w:sz w:val="24"/>
          <w:szCs w:val="24"/>
          <w:lang w:eastAsia="lt-LT"/>
        </w:rPr>
        <w:t xml:space="preserve"> 2020 m.</w:t>
      </w:r>
      <w:r w:rsidRPr="005273C8">
        <w:rPr>
          <w:rFonts w:ascii="Times New Roman" w:eastAsia="Times New Roman" w:hAnsi="Times New Roman" w:cs="Times New Roman"/>
          <w:sz w:val="24"/>
          <w:szCs w:val="24"/>
          <w:lang w:eastAsia="lt-LT"/>
        </w:rPr>
        <w:t xml:space="preserve"> indeksas yra mažesnis</w:t>
      </w:r>
      <w:r w:rsidR="005273C8">
        <w:rPr>
          <w:rFonts w:ascii="Times New Roman" w:eastAsia="Times New Roman" w:hAnsi="Times New Roman" w:cs="Times New Roman"/>
          <w:sz w:val="24"/>
          <w:szCs w:val="24"/>
          <w:lang w:eastAsia="lt-LT"/>
        </w:rPr>
        <w:t xml:space="preserve"> </w:t>
      </w:r>
      <w:r w:rsidR="005273C8" w:rsidRPr="005273C8">
        <w:rPr>
          <w:rFonts w:ascii="Times New Roman" w:eastAsia="Times New Roman" w:hAnsi="Times New Roman" w:cs="Times New Roman"/>
          <w:sz w:val="24"/>
          <w:szCs w:val="24"/>
          <w:lang w:eastAsia="lt-LT"/>
        </w:rPr>
        <w:t>3,28 balu</w:t>
      </w:r>
      <w:r w:rsidRPr="005273C8">
        <w:rPr>
          <w:rFonts w:ascii="Times New Roman" w:eastAsia="Times New Roman" w:hAnsi="Times New Roman" w:cs="Times New Roman"/>
          <w:sz w:val="24"/>
          <w:szCs w:val="24"/>
          <w:lang w:eastAsia="lt-LT"/>
        </w:rPr>
        <w:t>. Daugiausiai įtakos indekso mažėjimui turėjo COVID-19 pandemijos nulemtas neįgaliųjų mažesnis aktyvumas darbo rinkoje, vangesnis dalyvavimas įvairiuose judėjimuose bei organizacijose.</w:t>
      </w:r>
    </w:p>
    <w:p w14:paraId="5B222E68" w14:textId="58AE373A" w:rsidR="005A73F3" w:rsidRPr="00294F06" w:rsidRDefault="00792F78" w:rsidP="00D27016">
      <w:pPr>
        <w:pStyle w:val="bodytext"/>
        <w:tabs>
          <w:tab w:val="left" w:pos="851"/>
        </w:tabs>
        <w:spacing w:before="0" w:beforeAutospacing="0" w:after="0" w:afterAutospacing="0"/>
        <w:jc w:val="both"/>
        <w:rPr>
          <w:color w:val="000000" w:themeColor="text1"/>
        </w:rPr>
      </w:pPr>
      <w:r w:rsidRPr="00294F06">
        <w:rPr>
          <w:color w:val="000000" w:themeColor="text1"/>
        </w:rPr>
        <w:tab/>
      </w:r>
      <w:r w:rsidR="00E30324" w:rsidRPr="00294F06">
        <w:rPr>
          <w:color w:val="000000" w:themeColor="text1"/>
        </w:rPr>
        <w:t>P</w:t>
      </w:r>
      <w:r w:rsidR="000154F5" w:rsidRPr="00294F06">
        <w:rPr>
          <w:color w:val="000000" w:themeColor="text1"/>
        </w:rPr>
        <w:t>ateikiame informaciją apie Nacionalinės neįgaliųjų socialinės integracijos 2013 – 20</w:t>
      </w:r>
      <w:r w:rsidR="00E30324" w:rsidRPr="00294F06">
        <w:rPr>
          <w:color w:val="000000" w:themeColor="text1"/>
        </w:rPr>
        <w:t xml:space="preserve">20 </w:t>
      </w:r>
      <w:r w:rsidR="000154F5" w:rsidRPr="00294F06">
        <w:rPr>
          <w:color w:val="000000" w:themeColor="text1"/>
        </w:rPr>
        <w:t>metų programos</w:t>
      </w:r>
      <w:r w:rsidR="00FA2823" w:rsidRPr="00294F06">
        <w:rPr>
          <w:color w:val="000000" w:themeColor="text1"/>
        </w:rPr>
        <w:t xml:space="preserve"> priede numatytų</w:t>
      </w:r>
      <w:r w:rsidR="000154F5" w:rsidRPr="00294F06">
        <w:rPr>
          <w:color w:val="000000" w:themeColor="text1"/>
        </w:rPr>
        <w:t xml:space="preserve"> vertinimo kriterijų pasiektas reikšme</w:t>
      </w:r>
      <w:r w:rsidR="00C637D8">
        <w:rPr>
          <w:color w:val="000000" w:themeColor="text1"/>
        </w:rPr>
        <w:t>s (1 lentelė)</w:t>
      </w:r>
      <w:r w:rsidR="009D368C">
        <w:rPr>
          <w:color w:val="000000" w:themeColor="text1"/>
        </w:rPr>
        <w:t xml:space="preserve"> ir i</w:t>
      </w:r>
      <w:r w:rsidR="009D368C" w:rsidRPr="009D368C">
        <w:rPr>
          <w:color w:val="000000" w:themeColor="text1"/>
        </w:rPr>
        <w:t>nformacij</w:t>
      </w:r>
      <w:r w:rsidR="009D368C">
        <w:rPr>
          <w:color w:val="000000" w:themeColor="text1"/>
        </w:rPr>
        <w:t>ą</w:t>
      </w:r>
      <w:r w:rsidR="009D368C" w:rsidRPr="009D368C">
        <w:rPr>
          <w:color w:val="000000" w:themeColor="text1"/>
        </w:rPr>
        <w:t xml:space="preserve"> apie pagrindinių priemonių plano tikslų (rezultato) vertinimo kriterijų pokyčius 2020 metais</w:t>
      </w:r>
      <w:r w:rsidR="009D368C">
        <w:rPr>
          <w:color w:val="000000" w:themeColor="text1"/>
        </w:rPr>
        <w:t xml:space="preserve"> (2 lentelė).</w:t>
      </w:r>
    </w:p>
    <w:p w14:paraId="495B36EE" w14:textId="0F84F038" w:rsidR="000154F5" w:rsidRDefault="000154F5" w:rsidP="00D0375A">
      <w:pPr>
        <w:pStyle w:val="bodytext"/>
        <w:tabs>
          <w:tab w:val="left" w:pos="851"/>
        </w:tabs>
        <w:spacing w:before="0" w:beforeAutospacing="0" w:after="0" w:afterAutospacing="0"/>
        <w:ind w:firstLine="709"/>
        <w:jc w:val="both"/>
      </w:pPr>
    </w:p>
    <w:p w14:paraId="15E941F0" w14:textId="77777777" w:rsidR="00C637D8" w:rsidRDefault="00C637D8" w:rsidP="00C637D8">
      <w:pPr>
        <w:pStyle w:val="bodytext"/>
        <w:tabs>
          <w:tab w:val="left" w:pos="851"/>
        </w:tabs>
        <w:spacing w:before="0" w:beforeAutospacing="0" w:after="0" w:afterAutospacing="0"/>
        <w:ind w:firstLine="709"/>
        <w:jc w:val="right"/>
        <w:rPr>
          <w:b/>
        </w:rPr>
        <w:sectPr w:rsidR="00C637D8" w:rsidSect="00D27016">
          <w:headerReference w:type="default" r:id="rId10"/>
          <w:pgSz w:w="11906" w:h="16838"/>
          <w:pgMar w:top="1701" w:right="567" w:bottom="1134" w:left="1701" w:header="567" w:footer="567" w:gutter="0"/>
          <w:cols w:space="1296"/>
          <w:titlePg/>
          <w:docGrid w:linePitch="360"/>
        </w:sectPr>
      </w:pPr>
    </w:p>
    <w:p w14:paraId="7ED3CD3E" w14:textId="281DAFAD" w:rsidR="00C637D8" w:rsidRPr="00C637D8" w:rsidRDefault="00C637D8" w:rsidP="00C637D8">
      <w:pPr>
        <w:pStyle w:val="bodytext"/>
        <w:tabs>
          <w:tab w:val="left" w:pos="851"/>
        </w:tabs>
        <w:spacing w:before="0" w:beforeAutospacing="0" w:after="0" w:afterAutospacing="0"/>
        <w:ind w:firstLine="709"/>
        <w:jc w:val="right"/>
        <w:rPr>
          <w:b/>
        </w:rPr>
      </w:pPr>
      <w:r w:rsidRPr="00C637D8">
        <w:rPr>
          <w:b/>
        </w:rPr>
        <w:lastRenderedPageBreak/>
        <w:t xml:space="preserve">1 lentelė </w:t>
      </w:r>
    </w:p>
    <w:p w14:paraId="36D2A7DB" w14:textId="77777777" w:rsidR="000C19CC" w:rsidRDefault="00C637D8" w:rsidP="00C637D8">
      <w:pPr>
        <w:pStyle w:val="bodytext"/>
        <w:tabs>
          <w:tab w:val="left" w:pos="851"/>
        </w:tabs>
        <w:spacing w:before="0" w:beforeAutospacing="0" w:after="0" w:afterAutospacing="0"/>
        <w:ind w:firstLine="709"/>
        <w:jc w:val="right"/>
        <w:rPr>
          <w:b/>
          <w:color w:val="000000" w:themeColor="text1"/>
        </w:rPr>
      </w:pPr>
      <w:r w:rsidRPr="00C637D8">
        <w:rPr>
          <w:b/>
          <w:color w:val="000000" w:themeColor="text1"/>
        </w:rPr>
        <w:t xml:space="preserve">Nacionalinės neįgaliųjų socialinės integracijos 2013 – 2020 metų programos priede </w:t>
      </w:r>
    </w:p>
    <w:p w14:paraId="7A0047BE" w14:textId="61814220" w:rsidR="00C637D8" w:rsidRPr="00C637D8" w:rsidRDefault="00C637D8" w:rsidP="00C637D8">
      <w:pPr>
        <w:pStyle w:val="bodytext"/>
        <w:tabs>
          <w:tab w:val="left" w:pos="851"/>
        </w:tabs>
        <w:spacing w:before="0" w:beforeAutospacing="0" w:after="0" w:afterAutospacing="0"/>
        <w:ind w:firstLine="709"/>
        <w:jc w:val="right"/>
        <w:rPr>
          <w:b/>
        </w:rPr>
      </w:pPr>
      <w:r w:rsidRPr="00C637D8">
        <w:rPr>
          <w:b/>
          <w:color w:val="000000" w:themeColor="text1"/>
        </w:rPr>
        <w:t>numatytų vertinimo kriterijų pasiektos reikšmės</w:t>
      </w:r>
    </w:p>
    <w:tbl>
      <w:tblPr>
        <w:tblStyle w:val="TableGrid"/>
        <w:tblW w:w="14170" w:type="dxa"/>
        <w:tblLayout w:type="fixed"/>
        <w:tblLook w:val="04A0" w:firstRow="1" w:lastRow="0" w:firstColumn="1" w:lastColumn="0" w:noHBand="0" w:noVBand="1"/>
      </w:tblPr>
      <w:tblGrid>
        <w:gridCol w:w="846"/>
        <w:gridCol w:w="1701"/>
        <w:gridCol w:w="2410"/>
        <w:gridCol w:w="1134"/>
        <w:gridCol w:w="1275"/>
        <w:gridCol w:w="1276"/>
        <w:gridCol w:w="1276"/>
        <w:gridCol w:w="4252"/>
      </w:tblGrid>
      <w:tr w:rsidR="005F341A" w:rsidRPr="00CB5FA9" w14:paraId="339F4874" w14:textId="77777777" w:rsidTr="009D368C">
        <w:trPr>
          <w:trHeight w:val="288"/>
        </w:trPr>
        <w:tc>
          <w:tcPr>
            <w:tcW w:w="846" w:type="dxa"/>
            <w:vMerge w:val="restart"/>
          </w:tcPr>
          <w:p w14:paraId="4B57188F" w14:textId="77777777" w:rsidR="005F341A" w:rsidRDefault="005F341A" w:rsidP="00D0375A">
            <w:pPr>
              <w:jc w:val="both"/>
              <w:rPr>
                <w:rFonts w:ascii="Times New Roman" w:hAnsi="Times New Roman" w:cs="Times New Roman"/>
              </w:rPr>
            </w:pPr>
            <w:r>
              <w:rPr>
                <w:rFonts w:ascii="Times New Roman" w:hAnsi="Times New Roman" w:cs="Times New Roman"/>
              </w:rPr>
              <w:t>Eil.Nr.</w:t>
            </w:r>
          </w:p>
        </w:tc>
        <w:tc>
          <w:tcPr>
            <w:tcW w:w="1701" w:type="dxa"/>
            <w:vMerge w:val="restart"/>
            <w:hideMark/>
          </w:tcPr>
          <w:p w14:paraId="67560674" w14:textId="77777777" w:rsidR="005F341A" w:rsidRPr="00D0375A" w:rsidRDefault="005F341A" w:rsidP="00D0375A">
            <w:pPr>
              <w:jc w:val="both"/>
              <w:rPr>
                <w:rFonts w:ascii="Times New Roman" w:hAnsi="Times New Roman" w:cs="Times New Roman"/>
              </w:rPr>
            </w:pPr>
            <w:r>
              <w:rPr>
                <w:rFonts w:ascii="Times New Roman" w:hAnsi="Times New Roman" w:cs="Times New Roman"/>
              </w:rPr>
              <w:t>S</w:t>
            </w:r>
            <w:r w:rsidRPr="00D0375A">
              <w:rPr>
                <w:rFonts w:ascii="Times New Roman" w:hAnsi="Times New Roman" w:cs="Times New Roman"/>
              </w:rPr>
              <w:t>trateginis tikslas/Tikslas</w:t>
            </w:r>
          </w:p>
        </w:tc>
        <w:tc>
          <w:tcPr>
            <w:tcW w:w="2410" w:type="dxa"/>
            <w:vMerge w:val="restart"/>
            <w:hideMark/>
          </w:tcPr>
          <w:p w14:paraId="6A428E8B" w14:textId="77777777" w:rsidR="005F341A" w:rsidRPr="00D0375A" w:rsidRDefault="005F341A" w:rsidP="00D0375A">
            <w:pPr>
              <w:jc w:val="both"/>
              <w:rPr>
                <w:rFonts w:ascii="Times New Roman" w:hAnsi="Times New Roman" w:cs="Times New Roman"/>
              </w:rPr>
            </w:pPr>
            <w:r w:rsidRPr="00D0375A">
              <w:rPr>
                <w:rFonts w:ascii="Times New Roman" w:hAnsi="Times New Roman" w:cs="Times New Roman"/>
              </w:rPr>
              <w:t>Vertinimo kriterijus</w:t>
            </w:r>
          </w:p>
        </w:tc>
        <w:tc>
          <w:tcPr>
            <w:tcW w:w="4961" w:type="dxa"/>
            <w:gridSpan w:val="4"/>
          </w:tcPr>
          <w:p w14:paraId="166354BF" w14:textId="235B5F58" w:rsidR="005F341A" w:rsidRDefault="005F341A" w:rsidP="00B02FCC">
            <w:pPr>
              <w:jc w:val="center"/>
              <w:rPr>
                <w:rFonts w:ascii="Times New Roman" w:hAnsi="Times New Roman" w:cs="Times New Roman"/>
              </w:rPr>
            </w:pPr>
            <w:r>
              <w:rPr>
                <w:rFonts w:ascii="Times New Roman" w:hAnsi="Times New Roman" w:cs="Times New Roman"/>
              </w:rPr>
              <w:t>Reikšmės</w:t>
            </w:r>
          </w:p>
        </w:tc>
        <w:tc>
          <w:tcPr>
            <w:tcW w:w="4252" w:type="dxa"/>
            <w:vMerge w:val="restart"/>
            <w:hideMark/>
          </w:tcPr>
          <w:p w14:paraId="7BB6EC97" w14:textId="2C0B7FA3" w:rsidR="005F341A" w:rsidRPr="00D0375A" w:rsidRDefault="005F341A" w:rsidP="000154F5">
            <w:pPr>
              <w:jc w:val="center"/>
              <w:rPr>
                <w:rFonts w:ascii="Times New Roman" w:hAnsi="Times New Roman" w:cs="Times New Roman"/>
              </w:rPr>
            </w:pPr>
            <w:r>
              <w:rPr>
                <w:rFonts w:ascii="Times New Roman" w:hAnsi="Times New Roman" w:cs="Times New Roman"/>
              </w:rPr>
              <w:t>Pastabos</w:t>
            </w:r>
          </w:p>
        </w:tc>
      </w:tr>
      <w:tr w:rsidR="005F341A" w:rsidRPr="00CB5FA9" w14:paraId="737ECB74" w14:textId="77777777" w:rsidTr="009D368C">
        <w:trPr>
          <w:trHeight w:val="288"/>
        </w:trPr>
        <w:tc>
          <w:tcPr>
            <w:tcW w:w="846" w:type="dxa"/>
            <w:vMerge/>
          </w:tcPr>
          <w:p w14:paraId="08FF9DE2" w14:textId="77777777" w:rsidR="005F341A" w:rsidRPr="00D0375A" w:rsidRDefault="005F341A" w:rsidP="00D0375A">
            <w:pPr>
              <w:jc w:val="both"/>
              <w:rPr>
                <w:rFonts w:ascii="Times New Roman" w:hAnsi="Times New Roman" w:cs="Times New Roman"/>
              </w:rPr>
            </w:pPr>
          </w:p>
        </w:tc>
        <w:tc>
          <w:tcPr>
            <w:tcW w:w="1701" w:type="dxa"/>
            <w:vMerge/>
            <w:hideMark/>
          </w:tcPr>
          <w:p w14:paraId="5158AFC8" w14:textId="77777777" w:rsidR="005F341A" w:rsidRPr="00D0375A" w:rsidRDefault="005F341A" w:rsidP="00D0375A">
            <w:pPr>
              <w:jc w:val="both"/>
              <w:rPr>
                <w:rFonts w:ascii="Times New Roman" w:hAnsi="Times New Roman" w:cs="Times New Roman"/>
              </w:rPr>
            </w:pPr>
          </w:p>
        </w:tc>
        <w:tc>
          <w:tcPr>
            <w:tcW w:w="2410" w:type="dxa"/>
            <w:vMerge/>
            <w:hideMark/>
          </w:tcPr>
          <w:p w14:paraId="525C6CD6" w14:textId="77777777" w:rsidR="005F341A" w:rsidRPr="00D0375A" w:rsidRDefault="005F341A" w:rsidP="00D0375A">
            <w:pPr>
              <w:jc w:val="both"/>
              <w:rPr>
                <w:rFonts w:ascii="Times New Roman" w:hAnsi="Times New Roman" w:cs="Times New Roman"/>
              </w:rPr>
            </w:pPr>
          </w:p>
        </w:tc>
        <w:tc>
          <w:tcPr>
            <w:tcW w:w="1134" w:type="dxa"/>
            <w:noWrap/>
            <w:hideMark/>
          </w:tcPr>
          <w:p w14:paraId="3EC83E23" w14:textId="77777777" w:rsidR="005F341A" w:rsidRPr="00D0375A" w:rsidRDefault="005F341A" w:rsidP="000154F5">
            <w:pPr>
              <w:jc w:val="center"/>
              <w:rPr>
                <w:rFonts w:ascii="Times New Roman" w:hAnsi="Times New Roman" w:cs="Times New Roman"/>
              </w:rPr>
            </w:pPr>
            <w:r w:rsidRPr="00D0375A">
              <w:rPr>
                <w:rFonts w:ascii="Times New Roman" w:hAnsi="Times New Roman" w:cs="Times New Roman"/>
              </w:rPr>
              <w:t>2012 metų</w:t>
            </w:r>
            <w:r>
              <w:rPr>
                <w:rFonts w:ascii="Times New Roman" w:hAnsi="Times New Roman" w:cs="Times New Roman"/>
              </w:rPr>
              <w:t xml:space="preserve"> pradinė reikšmė</w:t>
            </w:r>
          </w:p>
        </w:tc>
        <w:tc>
          <w:tcPr>
            <w:tcW w:w="1275" w:type="dxa"/>
            <w:noWrap/>
            <w:hideMark/>
          </w:tcPr>
          <w:p w14:paraId="230489E0" w14:textId="3197E1B6" w:rsidR="005F341A" w:rsidRPr="00D0375A" w:rsidRDefault="005F341A" w:rsidP="00FA2823">
            <w:pPr>
              <w:jc w:val="center"/>
              <w:rPr>
                <w:rFonts w:ascii="Times New Roman" w:hAnsi="Times New Roman" w:cs="Times New Roman"/>
              </w:rPr>
            </w:pPr>
            <w:r>
              <w:rPr>
                <w:rFonts w:ascii="Times New Roman" w:hAnsi="Times New Roman" w:cs="Times New Roman"/>
              </w:rPr>
              <w:t>2017</w:t>
            </w:r>
            <w:r w:rsidRPr="00D0375A">
              <w:rPr>
                <w:rFonts w:ascii="Times New Roman" w:hAnsi="Times New Roman" w:cs="Times New Roman"/>
              </w:rPr>
              <w:t xml:space="preserve"> metų</w:t>
            </w:r>
            <w:r>
              <w:rPr>
                <w:rFonts w:ascii="Times New Roman" w:hAnsi="Times New Roman" w:cs="Times New Roman"/>
              </w:rPr>
              <w:t xml:space="preserve"> (pasiekta)</w:t>
            </w:r>
          </w:p>
        </w:tc>
        <w:tc>
          <w:tcPr>
            <w:tcW w:w="1276" w:type="dxa"/>
            <w:noWrap/>
            <w:hideMark/>
          </w:tcPr>
          <w:p w14:paraId="002A22F5" w14:textId="77777777" w:rsidR="005F341A" w:rsidRDefault="005F341A" w:rsidP="000154F5">
            <w:pPr>
              <w:jc w:val="center"/>
              <w:rPr>
                <w:rFonts w:ascii="Times New Roman" w:hAnsi="Times New Roman" w:cs="Times New Roman"/>
              </w:rPr>
            </w:pPr>
            <w:r w:rsidRPr="00D0375A">
              <w:rPr>
                <w:rFonts w:ascii="Times New Roman" w:hAnsi="Times New Roman" w:cs="Times New Roman"/>
              </w:rPr>
              <w:t>201</w:t>
            </w:r>
            <w:r>
              <w:rPr>
                <w:rFonts w:ascii="Times New Roman" w:hAnsi="Times New Roman" w:cs="Times New Roman"/>
              </w:rPr>
              <w:t>9</w:t>
            </w:r>
            <w:r w:rsidRPr="00D0375A">
              <w:rPr>
                <w:rFonts w:ascii="Times New Roman" w:hAnsi="Times New Roman" w:cs="Times New Roman"/>
              </w:rPr>
              <w:t xml:space="preserve"> metų</w:t>
            </w:r>
          </w:p>
          <w:p w14:paraId="6B8BB68A" w14:textId="0541CA55" w:rsidR="005F341A" w:rsidRPr="00D0375A" w:rsidRDefault="005F341A" w:rsidP="00E30324">
            <w:pPr>
              <w:jc w:val="center"/>
              <w:rPr>
                <w:rFonts w:ascii="Times New Roman" w:hAnsi="Times New Roman" w:cs="Times New Roman"/>
              </w:rPr>
            </w:pPr>
            <w:r>
              <w:rPr>
                <w:rFonts w:ascii="Times New Roman" w:hAnsi="Times New Roman" w:cs="Times New Roman"/>
              </w:rPr>
              <w:t>(pasiekta)</w:t>
            </w:r>
          </w:p>
        </w:tc>
        <w:tc>
          <w:tcPr>
            <w:tcW w:w="1276" w:type="dxa"/>
          </w:tcPr>
          <w:p w14:paraId="69E6CC69" w14:textId="7F17DA4B" w:rsidR="005F341A" w:rsidRPr="005273C8" w:rsidRDefault="005F341A" w:rsidP="000154F5">
            <w:pPr>
              <w:jc w:val="center"/>
              <w:rPr>
                <w:rFonts w:ascii="Times New Roman" w:hAnsi="Times New Roman" w:cs="Times New Roman"/>
              </w:rPr>
            </w:pPr>
            <w:r w:rsidRPr="005273C8">
              <w:rPr>
                <w:rFonts w:ascii="Times New Roman" w:hAnsi="Times New Roman" w:cs="Times New Roman"/>
              </w:rPr>
              <w:t>2020 metų (planuota / pasiekta)</w:t>
            </w:r>
          </w:p>
        </w:tc>
        <w:tc>
          <w:tcPr>
            <w:tcW w:w="4252" w:type="dxa"/>
            <w:vMerge/>
            <w:noWrap/>
            <w:hideMark/>
          </w:tcPr>
          <w:p w14:paraId="563CBF2B" w14:textId="0C126093" w:rsidR="005F341A" w:rsidRPr="00D0375A" w:rsidRDefault="005F341A" w:rsidP="000154F5">
            <w:pPr>
              <w:jc w:val="center"/>
              <w:rPr>
                <w:rFonts w:ascii="Times New Roman" w:hAnsi="Times New Roman" w:cs="Times New Roman"/>
              </w:rPr>
            </w:pPr>
          </w:p>
        </w:tc>
      </w:tr>
      <w:tr w:rsidR="009D368C" w:rsidRPr="00CB5FA9" w14:paraId="363EE3F0" w14:textId="77777777" w:rsidTr="009D368C">
        <w:trPr>
          <w:trHeight w:val="1440"/>
        </w:trPr>
        <w:tc>
          <w:tcPr>
            <w:tcW w:w="846" w:type="dxa"/>
            <w:vMerge w:val="restart"/>
          </w:tcPr>
          <w:p w14:paraId="6250247D" w14:textId="325528BC" w:rsidR="009D368C" w:rsidRPr="009D368C" w:rsidRDefault="009D368C" w:rsidP="00D0375A">
            <w:pPr>
              <w:jc w:val="both"/>
              <w:rPr>
                <w:rFonts w:ascii="Times New Roman" w:hAnsi="Times New Roman" w:cs="Times New Roman"/>
                <w:bCs/>
              </w:rPr>
            </w:pPr>
            <w:r w:rsidRPr="009D368C">
              <w:rPr>
                <w:rFonts w:ascii="Times New Roman" w:hAnsi="Times New Roman" w:cs="Times New Roman"/>
                <w:bCs/>
              </w:rPr>
              <w:t>1</w:t>
            </w:r>
            <w:r>
              <w:rPr>
                <w:rFonts w:ascii="Times New Roman" w:hAnsi="Times New Roman" w:cs="Times New Roman"/>
                <w:bCs/>
              </w:rPr>
              <w:t>.</w:t>
            </w:r>
          </w:p>
        </w:tc>
        <w:tc>
          <w:tcPr>
            <w:tcW w:w="1701" w:type="dxa"/>
            <w:vMerge w:val="restart"/>
            <w:hideMark/>
          </w:tcPr>
          <w:p w14:paraId="3794B949" w14:textId="77777777" w:rsidR="009D368C" w:rsidRPr="009D368C" w:rsidRDefault="009D368C" w:rsidP="00D0375A">
            <w:pPr>
              <w:jc w:val="both"/>
              <w:rPr>
                <w:rFonts w:ascii="Times New Roman" w:hAnsi="Times New Roman" w:cs="Times New Roman"/>
                <w:bCs/>
              </w:rPr>
            </w:pPr>
            <w:r w:rsidRPr="009D368C">
              <w:rPr>
                <w:rFonts w:ascii="Times New Roman" w:hAnsi="Times New Roman" w:cs="Times New Roman"/>
                <w:bCs/>
              </w:rPr>
              <w:t>Sukurti palankią aplinką ir sąlygas oriam ir visaverčiam neįgaliųjų gyvenimui Lietuvoje, užtikrinti lygias galimybes ir neįgaliųjų gyvenimo kokybę</w:t>
            </w:r>
          </w:p>
        </w:tc>
        <w:tc>
          <w:tcPr>
            <w:tcW w:w="2410" w:type="dxa"/>
            <w:hideMark/>
          </w:tcPr>
          <w:p w14:paraId="5F94F23F" w14:textId="06CF48BB" w:rsidR="009D368C" w:rsidRPr="00D0375A" w:rsidRDefault="009D368C" w:rsidP="00D0375A">
            <w:pPr>
              <w:jc w:val="both"/>
              <w:rPr>
                <w:rFonts w:ascii="Times New Roman" w:hAnsi="Times New Roman" w:cs="Times New Roman"/>
              </w:rPr>
            </w:pPr>
            <w:r>
              <w:rPr>
                <w:rFonts w:ascii="Times New Roman" w:hAnsi="Times New Roman" w:cs="Times New Roman"/>
              </w:rPr>
              <w:t>1.1.</w:t>
            </w:r>
            <w:r w:rsidRPr="00D0375A">
              <w:rPr>
                <w:rFonts w:ascii="Times New Roman" w:hAnsi="Times New Roman" w:cs="Times New Roman"/>
              </w:rPr>
              <w:t>neįgaliųjų gyvenimo kokybės indekso padidėjimas (procentais)</w:t>
            </w:r>
          </w:p>
        </w:tc>
        <w:tc>
          <w:tcPr>
            <w:tcW w:w="1134" w:type="dxa"/>
            <w:noWrap/>
            <w:vAlign w:val="center"/>
            <w:hideMark/>
          </w:tcPr>
          <w:p w14:paraId="51D9953E" w14:textId="3A71C401" w:rsidR="009D368C" w:rsidRPr="00B02FCC" w:rsidRDefault="009D368C" w:rsidP="00B02FCC">
            <w:pPr>
              <w:jc w:val="center"/>
              <w:rPr>
                <w:rFonts w:ascii="Times New Roman" w:hAnsi="Times New Roman" w:cs="Times New Roman"/>
                <w:bCs/>
                <w:color w:val="000000"/>
              </w:rPr>
            </w:pPr>
            <w:r w:rsidRPr="00B02FCC">
              <w:rPr>
                <w:rFonts w:ascii="Times New Roman" w:hAnsi="Times New Roman" w:cs="Times New Roman"/>
                <w:bCs/>
                <w:color w:val="000000"/>
              </w:rPr>
              <w:t>34,7</w:t>
            </w:r>
          </w:p>
          <w:p w14:paraId="233F4511" w14:textId="77777777" w:rsidR="009D368C" w:rsidRPr="00B02FCC" w:rsidRDefault="009D368C" w:rsidP="000154F5">
            <w:pPr>
              <w:jc w:val="center"/>
              <w:rPr>
                <w:rFonts w:ascii="Times New Roman" w:hAnsi="Times New Roman" w:cs="Times New Roman"/>
              </w:rPr>
            </w:pPr>
          </w:p>
        </w:tc>
        <w:tc>
          <w:tcPr>
            <w:tcW w:w="1275" w:type="dxa"/>
            <w:noWrap/>
            <w:vAlign w:val="center"/>
            <w:hideMark/>
          </w:tcPr>
          <w:p w14:paraId="6F0FFD9A" w14:textId="29238A07" w:rsidR="009D368C" w:rsidRPr="00B02FCC" w:rsidRDefault="009D368C" w:rsidP="00B02FCC">
            <w:pPr>
              <w:jc w:val="center"/>
              <w:rPr>
                <w:rFonts w:ascii="Times New Roman" w:hAnsi="Times New Roman" w:cs="Times New Roman"/>
                <w:bCs/>
                <w:color w:val="000000"/>
              </w:rPr>
            </w:pPr>
            <w:r w:rsidRPr="00E30324">
              <w:rPr>
                <w:rFonts w:ascii="Times New Roman" w:hAnsi="Times New Roman" w:cs="Times New Roman"/>
                <w:bCs/>
                <w:color w:val="000000"/>
              </w:rPr>
              <w:t>48,76</w:t>
            </w:r>
          </w:p>
          <w:p w14:paraId="5380FD26" w14:textId="77777777" w:rsidR="009D368C" w:rsidRPr="00B02FCC" w:rsidRDefault="009D368C" w:rsidP="000154F5">
            <w:pPr>
              <w:jc w:val="center"/>
              <w:rPr>
                <w:rFonts w:ascii="Times New Roman" w:hAnsi="Times New Roman" w:cs="Times New Roman"/>
              </w:rPr>
            </w:pPr>
          </w:p>
        </w:tc>
        <w:tc>
          <w:tcPr>
            <w:tcW w:w="1276" w:type="dxa"/>
            <w:noWrap/>
            <w:vAlign w:val="center"/>
            <w:hideMark/>
          </w:tcPr>
          <w:p w14:paraId="3E5D3D95" w14:textId="761A2B7F" w:rsidR="009D368C" w:rsidRPr="00B02FCC" w:rsidRDefault="009D368C" w:rsidP="00B02FCC">
            <w:pPr>
              <w:jc w:val="center"/>
              <w:rPr>
                <w:rFonts w:ascii="Times New Roman" w:hAnsi="Times New Roman" w:cs="Times New Roman"/>
              </w:rPr>
            </w:pPr>
            <w:r>
              <w:rPr>
                <w:rFonts w:ascii="Times New Roman" w:hAnsi="Times New Roman" w:cs="Times New Roman"/>
                <w:bCs/>
                <w:color w:val="000000"/>
              </w:rPr>
              <w:t>52</w:t>
            </w:r>
          </w:p>
          <w:p w14:paraId="1A10473C" w14:textId="77777777" w:rsidR="009D368C" w:rsidRPr="00B02FCC" w:rsidRDefault="009D368C" w:rsidP="000154F5">
            <w:pPr>
              <w:jc w:val="center"/>
              <w:rPr>
                <w:rFonts w:ascii="Times New Roman" w:hAnsi="Times New Roman" w:cs="Times New Roman"/>
              </w:rPr>
            </w:pPr>
          </w:p>
        </w:tc>
        <w:tc>
          <w:tcPr>
            <w:tcW w:w="1276" w:type="dxa"/>
            <w:vAlign w:val="center"/>
          </w:tcPr>
          <w:p w14:paraId="4A0B9666" w14:textId="5773B648" w:rsidR="009D368C" w:rsidRPr="005273C8" w:rsidRDefault="009D368C" w:rsidP="00577183">
            <w:pPr>
              <w:jc w:val="center"/>
              <w:rPr>
                <w:rFonts w:ascii="Times New Roman" w:hAnsi="Times New Roman" w:cs="Times New Roman"/>
              </w:rPr>
            </w:pPr>
            <w:r w:rsidRPr="005273C8">
              <w:rPr>
                <w:rFonts w:ascii="Times New Roman" w:hAnsi="Times New Roman" w:cs="Times New Roman"/>
              </w:rPr>
              <w:t>50 / 50,64</w:t>
            </w:r>
          </w:p>
          <w:p w14:paraId="7D8994EC" w14:textId="1A124F81" w:rsidR="009D368C" w:rsidRPr="005273C8" w:rsidRDefault="009D368C" w:rsidP="00D77260">
            <w:pPr>
              <w:jc w:val="center"/>
              <w:rPr>
                <w:rFonts w:ascii="Times New Roman" w:hAnsi="Times New Roman" w:cs="Times New Roman"/>
              </w:rPr>
            </w:pPr>
          </w:p>
        </w:tc>
        <w:tc>
          <w:tcPr>
            <w:tcW w:w="4252" w:type="dxa"/>
            <w:noWrap/>
          </w:tcPr>
          <w:p w14:paraId="2223108E" w14:textId="77777777" w:rsidR="009D368C" w:rsidRPr="00D0375A" w:rsidRDefault="009D368C" w:rsidP="00793748">
            <w:pPr>
              <w:rPr>
                <w:rFonts w:ascii="Times New Roman" w:hAnsi="Times New Roman" w:cs="Times New Roman"/>
              </w:rPr>
            </w:pPr>
            <w:r>
              <w:rPr>
                <w:rFonts w:ascii="Times New Roman" w:hAnsi="Times New Roman" w:cs="Times New Roman"/>
              </w:rPr>
              <w:t>Indeksas apskaičiuojamas pagal Departamento sukurtą skaičiavimo metodą, vertinant svarbių neįgaliųjų gyvenimo kokybei sričių - neįgaliųjų poreikių tenkinimo, f</w:t>
            </w:r>
            <w:r w:rsidRPr="000154F5">
              <w:rPr>
                <w:rFonts w:ascii="Times New Roman" w:hAnsi="Times New Roman" w:cs="Times New Roman"/>
              </w:rPr>
              <w:t>izinės ir in</w:t>
            </w:r>
            <w:r>
              <w:rPr>
                <w:rFonts w:ascii="Times New Roman" w:hAnsi="Times New Roman" w:cs="Times New Roman"/>
              </w:rPr>
              <w:t>formacinės aplinkos prieinamumo, n</w:t>
            </w:r>
            <w:r w:rsidRPr="000154F5">
              <w:rPr>
                <w:rFonts w:ascii="Times New Roman" w:hAnsi="Times New Roman" w:cs="Times New Roman"/>
              </w:rPr>
              <w:t>eįgaliųjų užimtum</w:t>
            </w:r>
            <w:r>
              <w:rPr>
                <w:rFonts w:ascii="Times New Roman" w:hAnsi="Times New Roman" w:cs="Times New Roman"/>
              </w:rPr>
              <w:t>o</w:t>
            </w:r>
            <w:r w:rsidRPr="000154F5">
              <w:rPr>
                <w:rFonts w:ascii="Times New Roman" w:hAnsi="Times New Roman" w:cs="Times New Roman"/>
              </w:rPr>
              <w:t xml:space="preserve"> ir dalyvavim</w:t>
            </w:r>
            <w:r>
              <w:rPr>
                <w:rFonts w:ascii="Times New Roman" w:hAnsi="Times New Roman" w:cs="Times New Roman"/>
              </w:rPr>
              <w:t>o</w:t>
            </w:r>
            <w:r w:rsidRPr="000154F5">
              <w:rPr>
                <w:rFonts w:ascii="Times New Roman" w:hAnsi="Times New Roman" w:cs="Times New Roman"/>
              </w:rPr>
              <w:t xml:space="preserve"> kultūros ir sporto veiklose</w:t>
            </w:r>
            <w:r>
              <w:rPr>
                <w:rFonts w:ascii="Times New Roman" w:hAnsi="Times New Roman" w:cs="Times New Roman"/>
              </w:rPr>
              <w:t xml:space="preserve"> bei n</w:t>
            </w:r>
            <w:r w:rsidRPr="00793748">
              <w:rPr>
                <w:rFonts w:ascii="Times New Roman" w:hAnsi="Times New Roman" w:cs="Times New Roman"/>
              </w:rPr>
              <w:t>eįgaliųjų teisių gynim</w:t>
            </w:r>
            <w:r>
              <w:rPr>
                <w:rFonts w:ascii="Times New Roman" w:hAnsi="Times New Roman" w:cs="Times New Roman"/>
              </w:rPr>
              <w:t>o</w:t>
            </w:r>
            <w:r w:rsidRPr="00793748">
              <w:rPr>
                <w:rFonts w:ascii="Times New Roman" w:hAnsi="Times New Roman" w:cs="Times New Roman"/>
              </w:rPr>
              <w:t xml:space="preserve"> ir socialini</w:t>
            </w:r>
            <w:r>
              <w:rPr>
                <w:rFonts w:ascii="Times New Roman" w:hAnsi="Times New Roman" w:cs="Times New Roman"/>
              </w:rPr>
              <w:t>o</w:t>
            </w:r>
            <w:r w:rsidRPr="00793748">
              <w:rPr>
                <w:rFonts w:ascii="Times New Roman" w:hAnsi="Times New Roman" w:cs="Times New Roman"/>
              </w:rPr>
              <w:t xml:space="preserve"> aktyvum</w:t>
            </w:r>
            <w:r>
              <w:rPr>
                <w:rFonts w:ascii="Times New Roman" w:hAnsi="Times New Roman" w:cs="Times New Roman"/>
              </w:rPr>
              <w:t>o statistinių rodiklių visumą</w:t>
            </w:r>
          </w:p>
        </w:tc>
      </w:tr>
      <w:tr w:rsidR="009D368C" w:rsidRPr="00CB5FA9" w14:paraId="1B9A03DA" w14:textId="77777777" w:rsidTr="009D368C">
        <w:trPr>
          <w:trHeight w:val="564"/>
        </w:trPr>
        <w:tc>
          <w:tcPr>
            <w:tcW w:w="846" w:type="dxa"/>
            <w:vMerge/>
          </w:tcPr>
          <w:p w14:paraId="25BB4B8D" w14:textId="77777777" w:rsidR="009D368C" w:rsidRPr="00D0375A" w:rsidRDefault="009D368C" w:rsidP="00D0375A">
            <w:pPr>
              <w:jc w:val="both"/>
              <w:rPr>
                <w:rFonts w:ascii="Times New Roman" w:hAnsi="Times New Roman" w:cs="Times New Roman"/>
                <w:b/>
                <w:bCs/>
              </w:rPr>
            </w:pPr>
          </w:p>
        </w:tc>
        <w:tc>
          <w:tcPr>
            <w:tcW w:w="1701" w:type="dxa"/>
            <w:vMerge/>
            <w:hideMark/>
          </w:tcPr>
          <w:p w14:paraId="1D4E2024" w14:textId="77777777" w:rsidR="009D368C" w:rsidRPr="00D0375A" w:rsidRDefault="009D368C" w:rsidP="00D0375A">
            <w:pPr>
              <w:jc w:val="both"/>
              <w:rPr>
                <w:rFonts w:ascii="Times New Roman" w:hAnsi="Times New Roman" w:cs="Times New Roman"/>
                <w:b/>
                <w:bCs/>
              </w:rPr>
            </w:pPr>
          </w:p>
        </w:tc>
        <w:tc>
          <w:tcPr>
            <w:tcW w:w="2410" w:type="dxa"/>
            <w:hideMark/>
          </w:tcPr>
          <w:p w14:paraId="5933B63B" w14:textId="7BF22C45" w:rsidR="009D368C" w:rsidRPr="00D0375A" w:rsidRDefault="009D368C" w:rsidP="00D0375A">
            <w:pPr>
              <w:jc w:val="both"/>
              <w:rPr>
                <w:rFonts w:ascii="Times New Roman" w:hAnsi="Times New Roman" w:cs="Times New Roman"/>
              </w:rPr>
            </w:pPr>
            <w:r>
              <w:rPr>
                <w:rFonts w:ascii="Times New Roman" w:hAnsi="Times New Roman" w:cs="Times New Roman"/>
              </w:rPr>
              <w:t>1.2.</w:t>
            </w:r>
            <w:r w:rsidRPr="00D0375A">
              <w:rPr>
                <w:rFonts w:ascii="Times New Roman" w:hAnsi="Times New Roman" w:cs="Times New Roman"/>
              </w:rPr>
              <w:t>neįgaliųjų lygių galimybių užtikrinimo indeksas (procentais)</w:t>
            </w:r>
          </w:p>
        </w:tc>
        <w:tc>
          <w:tcPr>
            <w:tcW w:w="1134" w:type="dxa"/>
            <w:noWrap/>
            <w:vAlign w:val="center"/>
            <w:hideMark/>
          </w:tcPr>
          <w:p w14:paraId="5B2B1016" w14:textId="2010D5CC" w:rsidR="009D368C" w:rsidRPr="00B02FCC" w:rsidRDefault="009D368C" w:rsidP="00B02FCC">
            <w:pPr>
              <w:jc w:val="center"/>
              <w:rPr>
                <w:rFonts w:ascii="Times New Roman" w:hAnsi="Times New Roman" w:cs="Times New Roman"/>
              </w:rPr>
            </w:pPr>
            <w:r w:rsidRPr="00B02FCC">
              <w:rPr>
                <w:rFonts w:ascii="Times New Roman" w:hAnsi="Times New Roman" w:cs="Times New Roman"/>
                <w:bCs/>
                <w:color w:val="000000"/>
              </w:rPr>
              <w:t>53,7</w:t>
            </w:r>
          </w:p>
        </w:tc>
        <w:tc>
          <w:tcPr>
            <w:tcW w:w="1275" w:type="dxa"/>
            <w:noWrap/>
            <w:vAlign w:val="center"/>
            <w:hideMark/>
          </w:tcPr>
          <w:p w14:paraId="0A162954" w14:textId="1A1CD648" w:rsidR="009D368C" w:rsidRPr="00B02FCC" w:rsidRDefault="009D368C" w:rsidP="00B02FCC">
            <w:pPr>
              <w:jc w:val="center"/>
              <w:rPr>
                <w:rFonts w:ascii="Times New Roman" w:hAnsi="Times New Roman" w:cs="Times New Roman"/>
              </w:rPr>
            </w:pPr>
            <w:r w:rsidRPr="00B02FCC">
              <w:rPr>
                <w:rFonts w:ascii="Times New Roman" w:hAnsi="Times New Roman" w:cs="Times New Roman"/>
                <w:bCs/>
                <w:color w:val="000000"/>
              </w:rPr>
              <w:t>52,63</w:t>
            </w:r>
          </w:p>
        </w:tc>
        <w:tc>
          <w:tcPr>
            <w:tcW w:w="1276" w:type="dxa"/>
            <w:noWrap/>
            <w:vAlign w:val="center"/>
            <w:hideMark/>
          </w:tcPr>
          <w:p w14:paraId="10EFFF47" w14:textId="58F9E136" w:rsidR="009D368C" w:rsidRPr="00B02FCC" w:rsidRDefault="009D368C" w:rsidP="00B02FCC">
            <w:pPr>
              <w:jc w:val="center"/>
              <w:rPr>
                <w:rFonts w:ascii="Times New Roman" w:hAnsi="Times New Roman" w:cs="Times New Roman"/>
              </w:rPr>
            </w:pPr>
            <w:r>
              <w:rPr>
                <w:rFonts w:ascii="Times New Roman" w:hAnsi="Times New Roman" w:cs="Times New Roman"/>
                <w:bCs/>
                <w:color w:val="000000"/>
              </w:rPr>
              <w:t>60,86</w:t>
            </w:r>
          </w:p>
        </w:tc>
        <w:tc>
          <w:tcPr>
            <w:tcW w:w="1276" w:type="dxa"/>
            <w:vAlign w:val="center"/>
          </w:tcPr>
          <w:p w14:paraId="6220FFE3" w14:textId="32D126F4" w:rsidR="009D368C" w:rsidRPr="005273C8" w:rsidRDefault="009D368C" w:rsidP="00577183">
            <w:pPr>
              <w:jc w:val="center"/>
              <w:rPr>
                <w:rFonts w:ascii="Times New Roman" w:hAnsi="Times New Roman" w:cs="Times New Roman"/>
              </w:rPr>
            </w:pPr>
            <w:r w:rsidRPr="005273C8">
              <w:rPr>
                <w:rFonts w:ascii="Times New Roman" w:hAnsi="Times New Roman" w:cs="Times New Roman"/>
              </w:rPr>
              <w:t>59,00 / 57,58</w:t>
            </w:r>
          </w:p>
        </w:tc>
        <w:tc>
          <w:tcPr>
            <w:tcW w:w="4252" w:type="dxa"/>
            <w:noWrap/>
          </w:tcPr>
          <w:p w14:paraId="2705910A" w14:textId="77777777" w:rsidR="009D368C" w:rsidRPr="00D0375A" w:rsidRDefault="009D368C" w:rsidP="00B02FCC">
            <w:pPr>
              <w:jc w:val="both"/>
              <w:rPr>
                <w:rFonts w:ascii="Times New Roman" w:hAnsi="Times New Roman" w:cs="Times New Roman"/>
              </w:rPr>
            </w:pPr>
            <w:r>
              <w:rPr>
                <w:rFonts w:ascii="Times New Roman" w:hAnsi="Times New Roman" w:cs="Times New Roman"/>
              </w:rPr>
              <w:t>Indeksas apskaičiuojamas pagal Departamento sukurtą skaičiavimo metodą, vertinant svarbių neįgaliųjų lygių galimybių užtikrinimui sričių -</w:t>
            </w:r>
            <w:r>
              <w:t xml:space="preserve"> </w:t>
            </w:r>
            <w:r>
              <w:rPr>
                <w:rFonts w:ascii="Times New Roman" w:hAnsi="Times New Roman" w:cs="Times New Roman"/>
              </w:rPr>
              <w:t>n</w:t>
            </w:r>
            <w:r w:rsidRPr="00793748">
              <w:rPr>
                <w:rFonts w:ascii="Times New Roman" w:hAnsi="Times New Roman" w:cs="Times New Roman"/>
              </w:rPr>
              <w:t>eįgaliųjų lygių galimybių užtikrinimas švietimo srityje</w:t>
            </w:r>
            <w:r>
              <w:rPr>
                <w:rFonts w:ascii="Times New Roman" w:hAnsi="Times New Roman" w:cs="Times New Roman"/>
              </w:rPr>
              <w:t>,</w:t>
            </w:r>
            <w:r w:rsidRPr="00793748">
              <w:rPr>
                <w:rFonts w:ascii="Times New Roman" w:hAnsi="Times New Roman" w:cs="Times New Roman"/>
              </w:rPr>
              <w:t xml:space="preserve"> užimtumo darbo rinkoje</w:t>
            </w:r>
            <w:r>
              <w:rPr>
                <w:rFonts w:ascii="Times New Roman" w:hAnsi="Times New Roman" w:cs="Times New Roman"/>
              </w:rPr>
              <w:t>,</w:t>
            </w:r>
            <w:r>
              <w:t xml:space="preserve"> </w:t>
            </w:r>
            <w:r w:rsidRPr="00793748">
              <w:rPr>
                <w:rFonts w:ascii="Times New Roman" w:hAnsi="Times New Roman" w:cs="Times New Roman"/>
              </w:rPr>
              <w:t>vartotojų teisių apsaugos srity</w:t>
            </w:r>
            <w:r>
              <w:rPr>
                <w:rFonts w:ascii="Times New Roman" w:hAnsi="Times New Roman" w:cs="Times New Roman"/>
              </w:rPr>
              <w:t>s</w:t>
            </w:r>
            <w:r w:rsidRPr="00793748">
              <w:rPr>
                <w:rFonts w:ascii="Times New Roman" w:hAnsi="Times New Roman" w:cs="Times New Roman"/>
              </w:rPr>
              <w:t>e</w:t>
            </w:r>
            <w:r>
              <w:rPr>
                <w:rFonts w:ascii="Times New Roman" w:hAnsi="Times New Roman" w:cs="Times New Roman"/>
              </w:rPr>
              <w:t xml:space="preserve"> bei </w:t>
            </w:r>
            <w:r w:rsidRPr="00793748">
              <w:rPr>
                <w:rFonts w:ascii="Times New Roman" w:hAnsi="Times New Roman" w:cs="Times New Roman"/>
              </w:rPr>
              <w:t>dalyv</w:t>
            </w:r>
            <w:r>
              <w:rPr>
                <w:rFonts w:ascii="Times New Roman" w:hAnsi="Times New Roman" w:cs="Times New Roman"/>
              </w:rPr>
              <w:t xml:space="preserve">avimo </w:t>
            </w:r>
            <w:r w:rsidRPr="00793748">
              <w:rPr>
                <w:rFonts w:ascii="Times New Roman" w:hAnsi="Times New Roman" w:cs="Times New Roman"/>
              </w:rPr>
              <w:t>visuomeniniame gyvenime</w:t>
            </w:r>
            <w:r>
              <w:rPr>
                <w:rFonts w:ascii="Times New Roman" w:hAnsi="Times New Roman" w:cs="Times New Roman"/>
              </w:rPr>
              <w:t xml:space="preserve"> statistinių rodiklių visumą</w:t>
            </w:r>
          </w:p>
        </w:tc>
      </w:tr>
      <w:tr w:rsidR="009D368C" w:rsidRPr="00CB5FA9" w14:paraId="3E3DC14C" w14:textId="77777777" w:rsidTr="009D368C">
        <w:trPr>
          <w:trHeight w:val="1152"/>
        </w:trPr>
        <w:tc>
          <w:tcPr>
            <w:tcW w:w="846" w:type="dxa"/>
            <w:vMerge w:val="restart"/>
          </w:tcPr>
          <w:p w14:paraId="7E928627" w14:textId="2A4EF68C" w:rsidR="009D368C" w:rsidRPr="00D0375A" w:rsidRDefault="009D368C" w:rsidP="00D0375A">
            <w:pPr>
              <w:jc w:val="both"/>
              <w:rPr>
                <w:rFonts w:ascii="Times New Roman" w:hAnsi="Times New Roman" w:cs="Times New Roman"/>
              </w:rPr>
            </w:pPr>
            <w:r>
              <w:rPr>
                <w:rFonts w:ascii="Times New Roman" w:hAnsi="Times New Roman" w:cs="Times New Roman"/>
              </w:rPr>
              <w:t>2.</w:t>
            </w:r>
          </w:p>
        </w:tc>
        <w:tc>
          <w:tcPr>
            <w:tcW w:w="1701" w:type="dxa"/>
            <w:vMerge w:val="restart"/>
            <w:hideMark/>
          </w:tcPr>
          <w:p w14:paraId="56317CB4" w14:textId="588D972F" w:rsidR="009D368C" w:rsidRPr="00D0375A" w:rsidRDefault="009D368C" w:rsidP="00D0375A">
            <w:pPr>
              <w:jc w:val="both"/>
              <w:rPr>
                <w:rFonts w:ascii="Times New Roman" w:hAnsi="Times New Roman" w:cs="Times New Roman"/>
              </w:rPr>
            </w:pPr>
            <w:r>
              <w:rPr>
                <w:rFonts w:ascii="Times New Roman" w:hAnsi="Times New Roman" w:cs="Times New Roman"/>
              </w:rPr>
              <w:t>2.1.</w:t>
            </w:r>
            <w:r w:rsidRPr="00D0375A">
              <w:rPr>
                <w:rFonts w:ascii="Times New Roman" w:hAnsi="Times New Roman" w:cs="Times New Roman"/>
              </w:rPr>
              <w:t xml:space="preserve">Tikslas: </w:t>
            </w:r>
            <w:r>
              <w:rPr>
                <w:rFonts w:ascii="Times New Roman" w:hAnsi="Times New Roman" w:cs="Times New Roman"/>
              </w:rPr>
              <w:t>u</w:t>
            </w:r>
            <w:r w:rsidRPr="00C26F81">
              <w:rPr>
                <w:rFonts w:ascii="Times New Roman" w:hAnsi="Times New Roman" w:cs="Times New Roman"/>
              </w:rPr>
              <w:t xml:space="preserve">žtikrinti skirtingas negalias turinčių neįgaliųjų specialiųjų poreikių tenkinimą teikiant socialinės integracijos </w:t>
            </w:r>
            <w:r w:rsidRPr="00C26F81">
              <w:rPr>
                <w:rFonts w:ascii="Times New Roman" w:hAnsi="Times New Roman" w:cs="Times New Roman"/>
              </w:rPr>
              <w:lastRenderedPageBreak/>
              <w:t>paslaugas (socialinės apsaugos, sveikatos priežiūros, švietimo srityse)</w:t>
            </w:r>
          </w:p>
        </w:tc>
        <w:tc>
          <w:tcPr>
            <w:tcW w:w="2410" w:type="dxa"/>
            <w:hideMark/>
          </w:tcPr>
          <w:p w14:paraId="4389ED04" w14:textId="469BED5E" w:rsidR="009D368C" w:rsidRPr="00D0375A" w:rsidRDefault="009D368C" w:rsidP="00D0375A">
            <w:pPr>
              <w:jc w:val="both"/>
              <w:rPr>
                <w:rFonts w:ascii="Times New Roman" w:hAnsi="Times New Roman" w:cs="Times New Roman"/>
              </w:rPr>
            </w:pPr>
            <w:r>
              <w:rPr>
                <w:rFonts w:ascii="Times New Roman" w:hAnsi="Times New Roman" w:cs="Times New Roman"/>
              </w:rPr>
              <w:lastRenderedPageBreak/>
              <w:t>2.1.1.</w:t>
            </w:r>
            <w:r w:rsidRPr="00C26F81">
              <w:rPr>
                <w:rFonts w:ascii="Times New Roman" w:hAnsi="Times New Roman" w:cs="Times New Roman"/>
              </w:rPr>
              <w:t>neįgaliųjų, gavusių socialines paslaugas, dalis, procentais (nuo bendro neįgaliųjų skaičiaus)</w:t>
            </w:r>
          </w:p>
        </w:tc>
        <w:tc>
          <w:tcPr>
            <w:tcW w:w="1134" w:type="dxa"/>
            <w:noWrap/>
            <w:vAlign w:val="center"/>
            <w:hideMark/>
          </w:tcPr>
          <w:p w14:paraId="1D569450"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24</w:t>
            </w:r>
          </w:p>
        </w:tc>
        <w:tc>
          <w:tcPr>
            <w:tcW w:w="1275" w:type="dxa"/>
            <w:noWrap/>
            <w:vAlign w:val="center"/>
            <w:hideMark/>
          </w:tcPr>
          <w:p w14:paraId="1D847D15"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28</w:t>
            </w:r>
          </w:p>
        </w:tc>
        <w:tc>
          <w:tcPr>
            <w:tcW w:w="1276" w:type="dxa"/>
            <w:noWrap/>
            <w:vAlign w:val="center"/>
            <w:hideMark/>
          </w:tcPr>
          <w:p w14:paraId="7EBF550F"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29</w:t>
            </w:r>
          </w:p>
        </w:tc>
        <w:tc>
          <w:tcPr>
            <w:tcW w:w="1276" w:type="dxa"/>
            <w:vAlign w:val="center"/>
          </w:tcPr>
          <w:p w14:paraId="0D2F16C4" w14:textId="2F1F6374" w:rsidR="009D368C" w:rsidRPr="005273C8" w:rsidRDefault="009D368C" w:rsidP="00577183">
            <w:pPr>
              <w:jc w:val="center"/>
              <w:rPr>
                <w:rFonts w:ascii="Times New Roman" w:hAnsi="Times New Roman" w:cs="Times New Roman"/>
              </w:rPr>
            </w:pPr>
            <w:r w:rsidRPr="005273C8">
              <w:rPr>
                <w:rFonts w:ascii="Times New Roman" w:hAnsi="Times New Roman" w:cs="Times New Roman"/>
              </w:rPr>
              <w:t xml:space="preserve">31 / 34 </w:t>
            </w:r>
          </w:p>
        </w:tc>
        <w:tc>
          <w:tcPr>
            <w:tcW w:w="4252" w:type="dxa"/>
            <w:noWrap/>
          </w:tcPr>
          <w:p w14:paraId="6289097C" w14:textId="77777777" w:rsidR="009D368C" w:rsidRPr="00D0375A" w:rsidRDefault="009D368C" w:rsidP="00B02FCC">
            <w:pPr>
              <w:jc w:val="both"/>
              <w:rPr>
                <w:rFonts w:ascii="Times New Roman" w:hAnsi="Times New Roman" w:cs="Times New Roman"/>
              </w:rPr>
            </w:pPr>
            <w:r>
              <w:rPr>
                <w:rFonts w:ascii="Times New Roman" w:hAnsi="Times New Roman" w:cs="Times New Roman"/>
              </w:rPr>
              <w:t>Vertinama, kiek procentų neįgaliųjų gavo įvairias nuolatines socialinės apsaugos paslaugas (socialines, socialinės reabilitacijos, dienos bei stacionarios globos)</w:t>
            </w:r>
          </w:p>
        </w:tc>
      </w:tr>
      <w:tr w:rsidR="009D368C" w:rsidRPr="00CB5FA9" w14:paraId="71420969" w14:textId="77777777" w:rsidTr="009D368C">
        <w:trPr>
          <w:trHeight w:val="576"/>
        </w:trPr>
        <w:tc>
          <w:tcPr>
            <w:tcW w:w="846" w:type="dxa"/>
            <w:vMerge/>
          </w:tcPr>
          <w:p w14:paraId="622D65FC" w14:textId="77777777" w:rsidR="009D368C" w:rsidRPr="00D0375A" w:rsidRDefault="009D368C" w:rsidP="00D0375A">
            <w:pPr>
              <w:jc w:val="both"/>
              <w:rPr>
                <w:rFonts w:ascii="Times New Roman" w:hAnsi="Times New Roman" w:cs="Times New Roman"/>
              </w:rPr>
            </w:pPr>
          </w:p>
        </w:tc>
        <w:tc>
          <w:tcPr>
            <w:tcW w:w="1701" w:type="dxa"/>
            <w:vMerge/>
            <w:hideMark/>
          </w:tcPr>
          <w:p w14:paraId="02AE6B89" w14:textId="77777777" w:rsidR="009D368C" w:rsidRPr="00D0375A" w:rsidRDefault="009D368C" w:rsidP="00D0375A">
            <w:pPr>
              <w:jc w:val="both"/>
              <w:rPr>
                <w:rFonts w:ascii="Times New Roman" w:hAnsi="Times New Roman" w:cs="Times New Roman"/>
              </w:rPr>
            </w:pPr>
          </w:p>
        </w:tc>
        <w:tc>
          <w:tcPr>
            <w:tcW w:w="2410" w:type="dxa"/>
            <w:hideMark/>
          </w:tcPr>
          <w:p w14:paraId="78602B53" w14:textId="01F766FF" w:rsidR="009D368C" w:rsidRPr="00D0375A" w:rsidRDefault="009D368C" w:rsidP="00D0375A">
            <w:pPr>
              <w:jc w:val="both"/>
              <w:rPr>
                <w:rFonts w:ascii="Times New Roman" w:hAnsi="Times New Roman" w:cs="Times New Roman"/>
              </w:rPr>
            </w:pPr>
            <w:r>
              <w:rPr>
                <w:rFonts w:ascii="Times New Roman" w:hAnsi="Times New Roman" w:cs="Times New Roman"/>
              </w:rPr>
              <w:t>2.1.2.</w:t>
            </w:r>
            <w:r w:rsidRPr="003A39B4">
              <w:rPr>
                <w:rFonts w:ascii="Times New Roman" w:hAnsi="Times New Roman" w:cs="Times New Roman"/>
              </w:rPr>
              <w:t>sveikatos priežiūros paslaugų poreikio patenkinimas, procentais</w:t>
            </w:r>
          </w:p>
        </w:tc>
        <w:tc>
          <w:tcPr>
            <w:tcW w:w="1134" w:type="dxa"/>
            <w:noWrap/>
            <w:vAlign w:val="center"/>
            <w:hideMark/>
          </w:tcPr>
          <w:p w14:paraId="1C6B1714"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100</w:t>
            </w:r>
          </w:p>
        </w:tc>
        <w:tc>
          <w:tcPr>
            <w:tcW w:w="1275" w:type="dxa"/>
            <w:noWrap/>
            <w:vAlign w:val="center"/>
            <w:hideMark/>
          </w:tcPr>
          <w:p w14:paraId="5361117D"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100</w:t>
            </w:r>
          </w:p>
        </w:tc>
        <w:tc>
          <w:tcPr>
            <w:tcW w:w="1276" w:type="dxa"/>
            <w:noWrap/>
            <w:vAlign w:val="center"/>
            <w:hideMark/>
          </w:tcPr>
          <w:p w14:paraId="4DE8BD3A"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10</w:t>
            </w:r>
            <w:r>
              <w:rPr>
                <w:rFonts w:ascii="Times New Roman" w:hAnsi="Times New Roman" w:cs="Times New Roman"/>
              </w:rPr>
              <w:t>0</w:t>
            </w:r>
          </w:p>
        </w:tc>
        <w:tc>
          <w:tcPr>
            <w:tcW w:w="1276" w:type="dxa"/>
            <w:vAlign w:val="center"/>
          </w:tcPr>
          <w:p w14:paraId="74B04B95" w14:textId="3939B158" w:rsidR="009D368C" w:rsidRPr="005273C8" w:rsidRDefault="009D368C" w:rsidP="00D77260">
            <w:pPr>
              <w:jc w:val="center"/>
              <w:rPr>
                <w:rFonts w:ascii="Times New Roman" w:hAnsi="Times New Roman" w:cs="Times New Roman"/>
              </w:rPr>
            </w:pPr>
            <w:r w:rsidRPr="005273C8">
              <w:rPr>
                <w:rFonts w:ascii="Times New Roman" w:hAnsi="Times New Roman" w:cs="Times New Roman"/>
              </w:rPr>
              <w:t xml:space="preserve">100 / 100 </w:t>
            </w:r>
          </w:p>
        </w:tc>
        <w:tc>
          <w:tcPr>
            <w:tcW w:w="4252" w:type="dxa"/>
            <w:noWrap/>
          </w:tcPr>
          <w:p w14:paraId="2A509A73" w14:textId="77777777" w:rsidR="009D368C" w:rsidRPr="00D0375A" w:rsidRDefault="009D368C" w:rsidP="00D0375A">
            <w:pPr>
              <w:jc w:val="both"/>
              <w:rPr>
                <w:rFonts w:ascii="Times New Roman" w:hAnsi="Times New Roman" w:cs="Times New Roman"/>
              </w:rPr>
            </w:pPr>
            <w:r>
              <w:rPr>
                <w:rFonts w:ascii="Times New Roman" w:hAnsi="Times New Roman" w:cs="Times New Roman"/>
              </w:rPr>
              <w:t>Sveikatos apsaugos ministerijos duomenys</w:t>
            </w:r>
          </w:p>
        </w:tc>
      </w:tr>
      <w:tr w:rsidR="009D368C" w:rsidRPr="00CB5FA9" w14:paraId="5AE66214" w14:textId="77777777" w:rsidTr="009D368C">
        <w:trPr>
          <w:trHeight w:val="288"/>
        </w:trPr>
        <w:tc>
          <w:tcPr>
            <w:tcW w:w="846" w:type="dxa"/>
            <w:vMerge/>
          </w:tcPr>
          <w:p w14:paraId="0D7006F8" w14:textId="77777777" w:rsidR="009D368C" w:rsidRPr="00D0375A" w:rsidRDefault="009D368C" w:rsidP="00D0375A">
            <w:pPr>
              <w:jc w:val="both"/>
              <w:rPr>
                <w:rFonts w:ascii="Times New Roman" w:hAnsi="Times New Roman" w:cs="Times New Roman"/>
              </w:rPr>
            </w:pPr>
          </w:p>
        </w:tc>
        <w:tc>
          <w:tcPr>
            <w:tcW w:w="1701" w:type="dxa"/>
            <w:vMerge/>
            <w:hideMark/>
          </w:tcPr>
          <w:p w14:paraId="1DC81B75" w14:textId="77777777" w:rsidR="009D368C" w:rsidRPr="00D0375A" w:rsidRDefault="009D368C" w:rsidP="00D0375A">
            <w:pPr>
              <w:jc w:val="both"/>
              <w:rPr>
                <w:rFonts w:ascii="Times New Roman" w:hAnsi="Times New Roman" w:cs="Times New Roman"/>
              </w:rPr>
            </w:pPr>
          </w:p>
        </w:tc>
        <w:tc>
          <w:tcPr>
            <w:tcW w:w="2410" w:type="dxa"/>
            <w:hideMark/>
          </w:tcPr>
          <w:p w14:paraId="20D2164C" w14:textId="12654955" w:rsidR="009D368C" w:rsidRPr="00D0375A" w:rsidRDefault="009D368C" w:rsidP="00D0375A">
            <w:pPr>
              <w:jc w:val="both"/>
              <w:rPr>
                <w:rFonts w:ascii="Times New Roman" w:hAnsi="Times New Roman" w:cs="Times New Roman"/>
              </w:rPr>
            </w:pPr>
            <w:r>
              <w:rPr>
                <w:rFonts w:ascii="Times New Roman" w:hAnsi="Times New Roman" w:cs="Times New Roman"/>
              </w:rPr>
              <w:t>2.1.3.</w:t>
            </w:r>
            <w:r w:rsidRPr="003A39B4">
              <w:rPr>
                <w:rFonts w:ascii="Times New Roman" w:hAnsi="Times New Roman" w:cs="Times New Roman"/>
              </w:rPr>
              <w:t xml:space="preserve">neįgalių studentų, gavusių socialinę </w:t>
            </w:r>
            <w:r w:rsidRPr="003A39B4">
              <w:rPr>
                <w:rFonts w:ascii="Times New Roman" w:hAnsi="Times New Roman" w:cs="Times New Roman"/>
              </w:rPr>
              <w:lastRenderedPageBreak/>
              <w:t>stipendiją, skirtą studijų prieinamumui didinti, dalis, procentais (nuo bendro studentų, gaunančių socialinę stipendiją, skaičiaus)</w:t>
            </w:r>
          </w:p>
        </w:tc>
        <w:tc>
          <w:tcPr>
            <w:tcW w:w="1134" w:type="dxa"/>
            <w:noWrap/>
            <w:vAlign w:val="center"/>
            <w:hideMark/>
          </w:tcPr>
          <w:p w14:paraId="36AE1D54" w14:textId="77777777" w:rsidR="009D368C" w:rsidRPr="00D0375A" w:rsidRDefault="009D368C" w:rsidP="003A39B4">
            <w:pPr>
              <w:jc w:val="center"/>
              <w:rPr>
                <w:rFonts w:ascii="Times New Roman" w:hAnsi="Times New Roman" w:cs="Times New Roman"/>
              </w:rPr>
            </w:pPr>
            <w:r>
              <w:rPr>
                <w:rFonts w:ascii="Times New Roman" w:hAnsi="Times New Roman" w:cs="Times New Roman"/>
              </w:rPr>
              <w:lastRenderedPageBreak/>
              <w:t>7,5</w:t>
            </w:r>
          </w:p>
        </w:tc>
        <w:tc>
          <w:tcPr>
            <w:tcW w:w="1275" w:type="dxa"/>
            <w:noWrap/>
            <w:vAlign w:val="center"/>
            <w:hideMark/>
          </w:tcPr>
          <w:p w14:paraId="50A7F070"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19,1</w:t>
            </w:r>
          </w:p>
        </w:tc>
        <w:tc>
          <w:tcPr>
            <w:tcW w:w="1276" w:type="dxa"/>
            <w:noWrap/>
            <w:vAlign w:val="center"/>
            <w:hideMark/>
          </w:tcPr>
          <w:p w14:paraId="55BFD91F"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19,98</w:t>
            </w:r>
          </w:p>
        </w:tc>
        <w:tc>
          <w:tcPr>
            <w:tcW w:w="1276" w:type="dxa"/>
            <w:vAlign w:val="center"/>
          </w:tcPr>
          <w:p w14:paraId="3BF94B56" w14:textId="3F062292" w:rsidR="009D368C" w:rsidRPr="005273C8" w:rsidRDefault="009D368C" w:rsidP="00D77260">
            <w:pPr>
              <w:jc w:val="center"/>
              <w:rPr>
                <w:rFonts w:ascii="Times New Roman" w:hAnsi="Times New Roman" w:cs="Times New Roman"/>
              </w:rPr>
            </w:pPr>
            <w:r w:rsidRPr="005273C8">
              <w:rPr>
                <w:rFonts w:ascii="Times New Roman" w:hAnsi="Times New Roman" w:cs="Times New Roman"/>
              </w:rPr>
              <w:t>15 / 15</w:t>
            </w:r>
          </w:p>
        </w:tc>
        <w:tc>
          <w:tcPr>
            <w:tcW w:w="4252" w:type="dxa"/>
            <w:noWrap/>
          </w:tcPr>
          <w:p w14:paraId="65CBEA3F" w14:textId="77777777" w:rsidR="009D368C" w:rsidRPr="00D0375A" w:rsidRDefault="009D368C" w:rsidP="00D0375A">
            <w:pPr>
              <w:jc w:val="both"/>
              <w:rPr>
                <w:rFonts w:ascii="Times New Roman" w:hAnsi="Times New Roman" w:cs="Times New Roman"/>
              </w:rPr>
            </w:pPr>
            <w:r>
              <w:rPr>
                <w:rFonts w:ascii="Times New Roman" w:hAnsi="Times New Roman" w:cs="Times New Roman"/>
              </w:rPr>
              <w:t>Švietimo ir mokslo ministerijos duomenys</w:t>
            </w:r>
          </w:p>
        </w:tc>
      </w:tr>
      <w:tr w:rsidR="009D368C" w:rsidRPr="00CB5FA9" w14:paraId="7B50DEFC" w14:textId="77777777" w:rsidTr="009D368C">
        <w:trPr>
          <w:trHeight w:val="864"/>
        </w:trPr>
        <w:tc>
          <w:tcPr>
            <w:tcW w:w="846" w:type="dxa"/>
            <w:vMerge/>
          </w:tcPr>
          <w:p w14:paraId="534D8862" w14:textId="77777777" w:rsidR="009D368C" w:rsidRPr="00D0375A" w:rsidRDefault="009D368C" w:rsidP="00D0375A">
            <w:pPr>
              <w:jc w:val="both"/>
              <w:rPr>
                <w:rFonts w:ascii="Times New Roman" w:hAnsi="Times New Roman" w:cs="Times New Roman"/>
              </w:rPr>
            </w:pPr>
          </w:p>
        </w:tc>
        <w:tc>
          <w:tcPr>
            <w:tcW w:w="1701" w:type="dxa"/>
            <w:vMerge w:val="restart"/>
            <w:hideMark/>
          </w:tcPr>
          <w:p w14:paraId="6075FFC0" w14:textId="124FC171" w:rsidR="009D368C" w:rsidRPr="00D0375A" w:rsidRDefault="009D368C" w:rsidP="00D0375A">
            <w:pPr>
              <w:jc w:val="both"/>
              <w:rPr>
                <w:rFonts w:ascii="Times New Roman" w:hAnsi="Times New Roman" w:cs="Times New Roman"/>
              </w:rPr>
            </w:pPr>
            <w:r>
              <w:rPr>
                <w:rFonts w:ascii="Times New Roman" w:hAnsi="Times New Roman" w:cs="Times New Roman"/>
              </w:rPr>
              <w:t>2.2.</w:t>
            </w:r>
            <w:r w:rsidRPr="00D0375A">
              <w:rPr>
                <w:rFonts w:ascii="Times New Roman" w:hAnsi="Times New Roman" w:cs="Times New Roman"/>
              </w:rPr>
              <w:t xml:space="preserve">Tikslas: </w:t>
            </w:r>
            <w:r>
              <w:rPr>
                <w:rFonts w:ascii="Times New Roman" w:hAnsi="Times New Roman" w:cs="Times New Roman"/>
              </w:rPr>
              <w:t>u</w:t>
            </w:r>
            <w:r w:rsidRPr="003A39B4">
              <w:rPr>
                <w:rFonts w:ascii="Times New Roman" w:hAnsi="Times New Roman" w:cs="Times New Roman"/>
              </w:rPr>
              <w:t>žtikrinti neįgaliesiems galimybę laisvai judėti fizinėje aplinkoje ir naudotis visiems prieinama informacija</w:t>
            </w:r>
          </w:p>
        </w:tc>
        <w:tc>
          <w:tcPr>
            <w:tcW w:w="2410" w:type="dxa"/>
            <w:hideMark/>
          </w:tcPr>
          <w:p w14:paraId="29E15506" w14:textId="3AF1CE29" w:rsidR="009D368C" w:rsidRPr="00D0375A" w:rsidRDefault="009D368C" w:rsidP="00D0375A">
            <w:pPr>
              <w:jc w:val="both"/>
              <w:rPr>
                <w:rFonts w:ascii="Times New Roman" w:hAnsi="Times New Roman" w:cs="Times New Roman"/>
              </w:rPr>
            </w:pPr>
            <w:r>
              <w:rPr>
                <w:rFonts w:ascii="Times New Roman" w:hAnsi="Times New Roman" w:cs="Times New Roman"/>
              </w:rPr>
              <w:t>2.2.1.</w:t>
            </w:r>
            <w:r w:rsidRPr="003A39B4">
              <w:rPr>
                <w:rFonts w:ascii="Times New Roman" w:hAnsi="Times New Roman" w:cs="Times New Roman"/>
              </w:rPr>
              <w:t>neįgaliesiems pritaikytų viešųjų statinių ir objektų prieinamumas, procentais</w:t>
            </w:r>
          </w:p>
        </w:tc>
        <w:tc>
          <w:tcPr>
            <w:tcW w:w="1134" w:type="dxa"/>
            <w:noWrap/>
            <w:vAlign w:val="center"/>
            <w:hideMark/>
          </w:tcPr>
          <w:p w14:paraId="44878CB7"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15</w:t>
            </w:r>
          </w:p>
        </w:tc>
        <w:tc>
          <w:tcPr>
            <w:tcW w:w="1275" w:type="dxa"/>
            <w:noWrap/>
            <w:vAlign w:val="center"/>
            <w:hideMark/>
          </w:tcPr>
          <w:p w14:paraId="1F2E118A"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23,26</w:t>
            </w:r>
          </w:p>
        </w:tc>
        <w:tc>
          <w:tcPr>
            <w:tcW w:w="1276" w:type="dxa"/>
            <w:noWrap/>
            <w:vAlign w:val="center"/>
            <w:hideMark/>
          </w:tcPr>
          <w:p w14:paraId="4563926E"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28,4</w:t>
            </w:r>
          </w:p>
        </w:tc>
        <w:tc>
          <w:tcPr>
            <w:tcW w:w="1276" w:type="dxa"/>
            <w:vAlign w:val="center"/>
          </w:tcPr>
          <w:p w14:paraId="17F561C0" w14:textId="0E3F13CC" w:rsidR="009D368C" w:rsidRPr="005273C8" w:rsidRDefault="009D368C" w:rsidP="00D77260">
            <w:pPr>
              <w:jc w:val="center"/>
              <w:rPr>
                <w:rFonts w:ascii="Times New Roman" w:hAnsi="Times New Roman" w:cs="Times New Roman"/>
              </w:rPr>
            </w:pPr>
            <w:r w:rsidRPr="005273C8">
              <w:rPr>
                <w:rFonts w:ascii="Times New Roman" w:hAnsi="Times New Roman" w:cs="Times New Roman"/>
              </w:rPr>
              <w:t>30 / 30,82</w:t>
            </w:r>
          </w:p>
        </w:tc>
        <w:tc>
          <w:tcPr>
            <w:tcW w:w="4252" w:type="dxa"/>
            <w:noWrap/>
          </w:tcPr>
          <w:p w14:paraId="3BB3C9C8" w14:textId="77777777" w:rsidR="009D368C" w:rsidRPr="00D0375A" w:rsidRDefault="009D368C" w:rsidP="001561D0">
            <w:pPr>
              <w:jc w:val="both"/>
              <w:rPr>
                <w:rFonts w:ascii="Times New Roman" w:hAnsi="Times New Roman" w:cs="Times New Roman"/>
              </w:rPr>
            </w:pPr>
            <w:r>
              <w:rPr>
                <w:rFonts w:ascii="Times New Roman" w:hAnsi="Times New Roman" w:cs="Times New Roman"/>
              </w:rPr>
              <w:t>Atlikto tyrimo duomenimis 2012 metais pritaikyta apie 15 proc. viešosios paskirties statinių. Pritaikymas reikalingas 34000 statinių ar objektų. Vertinama, kaip ataskaitiniais metais p</w:t>
            </w:r>
            <w:r w:rsidRPr="00B02FCC">
              <w:rPr>
                <w:rFonts w:ascii="Times New Roman" w:hAnsi="Times New Roman" w:cs="Times New Roman"/>
              </w:rPr>
              <w:t>riimt</w:t>
            </w:r>
            <w:r>
              <w:rPr>
                <w:rFonts w:ascii="Times New Roman" w:hAnsi="Times New Roman" w:cs="Times New Roman"/>
              </w:rPr>
              <w:t xml:space="preserve">i eksploatuoti pritaikyti statiniai prisideda prie </w:t>
            </w:r>
            <w:r w:rsidRPr="00D0375A">
              <w:rPr>
                <w:rFonts w:ascii="Times New Roman" w:hAnsi="Times New Roman" w:cs="Times New Roman"/>
              </w:rPr>
              <w:t>neįgaliesiems pritaikytų viešųjų statinių ir objektų, transporto maršrutų gausėjim</w:t>
            </w:r>
            <w:r>
              <w:rPr>
                <w:rFonts w:ascii="Times New Roman" w:hAnsi="Times New Roman" w:cs="Times New Roman"/>
              </w:rPr>
              <w:t>o</w:t>
            </w:r>
          </w:p>
        </w:tc>
      </w:tr>
      <w:tr w:rsidR="009D368C" w:rsidRPr="00CB5FA9" w14:paraId="138198F8" w14:textId="77777777" w:rsidTr="009D368C">
        <w:trPr>
          <w:trHeight w:val="864"/>
        </w:trPr>
        <w:tc>
          <w:tcPr>
            <w:tcW w:w="846" w:type="dxa"/>
            <w:vMerge/>
          </w:tcPr>
          <w:p w14:paraId="688767E0" w14:textId="77777777" w:rsidR="009D368C" w:rsidRPr="00D0375A" w:rsidRDefault="009D368C" w:rsidP="00D0375A">
            <w:pPr>
              <w:jc w:val="both"/>
              <w:rPr>
                <w:rFonts w:ascii="Times New Roman" w:hAnsi="Times New Roman" w:cs="Times New Roman"/>
              </w:rPr>
            </w:pPr>
          </w:p>
        </w:tc>
        <w:tc>
          <w:tcPr>
            <w:tcW w:w="1701" w:type="dxa"/>
            <w:vMerge/>
            <w:hideMark/>
          </w:tcPr>
          <w:p w14:paraId="2DA8DFCE" w14:textId="77777777" w:rsidR="009D368C" w:rsidRPr="00D0375A" w:rsidRDefault="009D368C" w:rsidP="00D0375A">
            <w:pPr>
              <w:jc w:val="both"/>
              <w:rPr>
                <w:rFonts w:ascii="Times New Roman" w:hAnsi="Times New Roman" w:cs="Times New Roman"/>
              </w:rPr>
            </w:pPr>
          </w:p>
        </w:tc>
        <w:tc>
          <w:tcPr>
            <w:tcW w:w="2410" w:type="dxa"/>
            <w:hideMark/>
          </w:tcPr>
          <w:p w14:paraId="429EBD19" w14:textId="3CC0C821" w:rsidR="009D368C" w:rsidRPr="00D0375A" w:rsidRDefault="009D368C" w:rsidP="00D0375A">
            <w:pPr>
              <w:jc w:val="both"/>
              <w:rPr>
                <w:rFonts w:ascii="Times New Roman" w:hAnsi="Times New Roman" w:cs="Times New Roman"/>
              </w:rPr>
            </w:pPr>
            <w:r>
              <w:rPr>
                <w:rFonts w:ascii="Times New Roman" w:hAnsi="Times New Roman" w:cs="Times New Roman"/>
              </w:rPr>
              <w:t>2.2.2.v</w:t>
            </w:r>
            <w:r w:rsidRPr="007E6869">
              <w:rPr>
                <w:rFonts w:ascii="Times New Roman" w:hAnsi="Times New Roman" w:cs="Times New Roman"/>
              </w:rPr>
              <w:t>iešosios informacinės aplinkos prieinamumas regėjimo, klausos, sutrikusio intelekto negalių turintiems asmenims, procentais (nuo bendro Lietuvos nacionalinio radijo ir televizijos laidų transliacijos laiko)</w:t>
            </w:r>
          </w:p>
        </w:tc>
        <w:tc>
          <w:tcPr>
            <w:tcW w:w="1134" w:type="dxa"/>
            <w:noWrap/>
            <w:vAlign w:val="center"/>
            <w:hideMark/>
          </w:tcPr>
          <w:p w14:paraId="5EC94B10"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4</w:t>
            </w:r>
          </w:p>
        </w:tc>
        <w:tc>
          <w:tcPr>
            <w:tcW w:w="1275" w:type="dxa"/>
            <w:noWrap/>
            <w:vAlign w:val="center"/>
            <w:hideMark/>
          </w:tcPr>
          <w:p w14:paraId="6B517CA0"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6,</w:t>
            </w:r>
            <w:r>
              <w:rPr>
                <w:rFonts w:ascii="Times New Roman" w:hAnsi="Times New Roman" w:cs="Times New Roman"/>
              </w:rPr>
              <w:t>3</w:t>
            </w:r>
          </w:p>
        </w:tc>
        <w:tc>
          <w:tcPr>
            <w:tcW w:w="1276" w:type="dxa"/>
            <w:noWrap/>
            <w:vAlign w:val="center"/>
            <w:hideMark/>
          </w:tcPr>
          <w:p w14:paraId="302701D5"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14,96</w:t>
            </w:r>
          </w:p>
        </w:tc>
        <w:tc>
          <w:tcPr>
            <w:tcW w:w="1276" w:type="dxa"/>
            <w:vAlign w:val="center"/>
          </w:tcPr>
          <w:p w14:paraId="637E1E05" w14:textId="24EF2BD3" w:rsidR="009D368C" w:rsidRPr="005273C8" w:rsidRDefault="009D368C" w:rsidP="00D77260">
            <w:pPr>
              <w:jc w:val="center"/>
              <w:rPr>
                <w:rFonts w:ascii="Times New Roman" w:hAnsi="Times New Roman" w:cs="Times New Roman"/>
              </w:rPr>
            </w:pPr>
            <w:r w:rsidRPr="005273C8">
              <w:rPr>
                <w:rFonts w:ascii="Times New Roman" w:hAnsi="Times New Roman" w:cs="Times New Roman"/>
              </w:rPr>
              <w:t>10 / 17,56</w:t>
            </w:r>
          </w:p>
        </w:tc>
        <w:tc>
          <w:tcPr>
            <w:tcW w:w="4252" w:type="dxa"/>
            <w:noWrap/>
          </w:tcPr>
          <w:p w14:paraId="78529741" w14:textId="7E9B62D8" w:rsidR="009D368C" w:rsidRPr="00D0375A" w:rsidRDefault="009D368C" w:rsidP="001561D0">
            <w:pPr>
              <w:jc w:val="both"/>
              <w:rPr>
                <w:rFonts w:ascii="Times New Roman" w:hAnsi="Times New Roman" w:cs="Times New Roman"/>
              </w:rPr>
            </w:pPr>
            <w:r>
              <w:rPr>
                <w:rFonts w:ascii="Times New Roman" w:hAnsi="Times New Roman" w:cs="Times New Roman"/>
              </w:rPr>
              <w:t>Vertinama, kokia dalis LRT televizijos laidų transliacijos laiko (titruojant, verčiant gestais</w:t>
            </w:r>
            <w:r w:rsidR="0099560D">
              <w:rPr>
                <w:rFonts w:ascii="Times New Roman" w:hAnsi="Times New Roman" w:cs="Times New Roman"/>
              </w:rPr>
              <w:t>, pritaikant regos negalią turintiems asmenims</w:t>
            </w:r>
            <w:r>
              <w:rPr>
                <w:rFonts w:ascii="Times New Roman" w:hAnsi="Times New Roman" w:cs="Times New Roman"/>
              </w:rPr>
              <w:t>) yra prieinama neįgaliesiems</w:t>
            </w:r>
          </w:p>
        </w:tc>
      </w:tr>
      <w:tr w:rsidR="009D368C" w:rsidRPr="00CB5FA9" w14:paraId="3DF1897A" w14:textId="77777777" w:rsidTr="009D368C">
        <w:trPr>
          <w:trHeight w:val="576"/>
        </w:trPr>
        <w:tc>
          <w:tcPr>
            <w:tcW w:w="846" w:type="dxa"/>
            <w:vMerge/>
          </w:tcPr>
          <w:p w14:paraId="6DD61B69" w14:textId="77777777" w:rsidR="009D368C" w:rsidRPr="00D0375A" w:rsidRDefault="009D368C" w:rsidP="00D0375A">
            <w:pPr>
              <w:jc w:val="both"/>
              <w:rPr>
                <w:rFonts w:ascii="Times New Roman" w:hAnsi="Times New Roman" w:cs="Times New Roman"/>
              </w:rPr>
            </w:pPr>
          </w:p>
        </w:tc>
        <w:tc>
          <w:tcPr>
            <w:tcW w:w="1701" w:type="dxa"/>
            <w:vMerge/>
            <w:hideMark/>
          </w:tcPr>
          <w:p w14:paraId="49E689A0" w14:textId="77777777" w:rsidR="009D368C" w:rsidRPr="00D0375A" w:rsidRDefault="009D368C" w:rsidP="00D0375A">
            <w:pPr>
              <w:jc w:val="both"/>
              <w:rPr>
                <w:rFonts w:ascii="Times New Roman" w:hAnsi="Times New Roman" w:cs="Times New Roman"/>
              </w:rPr>
            </w:pPr>
          </w:p>
        </w:tc>
        <w:tc>
          <w:tcPr>
            <w:tcW w:w="2410" w:type="dxa"/>
            <w:hideMark/>
          </w:tcPr>
          <w:p w14:paraId="2C3A89FB" w14:textId="2F23A8FE" w:rsidR="009D368C" w:rsidRPr="00D0375A" w:rsidRDefault="009D368C" w:rsidP="00D0375A">
            <w:pPr>
              <w:jc w:val="both"/>
              <w:rPr>
                <w:rFonts w:ascii="Times New Roman" w:hAnsi="Times New Roman" w:cs="Times New Roman"/>
              </w:rPr>
            </w:pPr>
            <w:r>
              <w:rPr>
                <w:rFonts w:ascii="Times New Roman" w:hAnsi="Times New Roman" w:cs="Times New Roman"/>
              </w:rPr>
              <w:t>2.2.3.</w:t>
            </w:r>
            <w:r w:rsidRPr="007E6869">
              <w:rPr>
                <w:rFonts w:ascii="Times New Roman" w:hAnsi="Times New Roman" w:cs="Times New Roman"/>
              </w:rPr>
              <w:t>neįgaliųjų, gavusių savarankiškumą ir mobilumą skatinančias paslaugas, dalis, procentais (nuo bendro neįgaliųjų skaičiaus)</w:t>
            </w:r>
          </w:p>
        </w:tc>
        <w:tc>
          <w:tcPr>
            <w:tcW w:w="1134" w:type="dxa"/>
            <w:noWrap/>
            <w:vAlign w:val="center"/>
            <w:hideMark/>
          </w:tcPr>
          <w:p w14:paraId="5CCC2744"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10</w:t>
            </w:r>
          </w:p>
        </w:tc>
        <w:tc>
          <w:tcPr>
            <w:tcW w:w="1275" w:type="dxa"/>
            <w:noWrap/>
            <w:vAlign w:val="center"/>
            <w:hideMark/>
          </w:tcPr>
          <w:p w14:paraId="1F0B47AD"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13,</w:t>
            </w:r>
            <w:r>
              <w:rPr>
                <w:rFonts w:ascii="Times New Roman" w:hAnsi="Times New Roman" w:cs="Times New Roman"/>
              </w:rPr>
              <w:t>65</w:t>
            </w:r>
          </w:p>
        </w:tc>
        <w:tc>
          <w:tcPr>
            <w:tcW w:w="1276" w:type="dxa"/>
            <w:noWrap/>
            <w:vAlign w:val="center"/>
            <w:hideMark/>
          </w:tcPr>
          <w:p w14:paraId="0EC987E0"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16,9</w:t>
            </w:r>
          </w:p>
        </w:tc>
        <w:tc>
          <w:tcPr>
            <w:tcW w:w="1276" w:type="dxa"/>
            <w:vAlign w:val="center"/>
          </w:tcPr>
          <w:p w14:paraId="646E4F8D" w14:textId="0E7EE49F" w:rsidR="009D368C" w:rsidRPr="005273C8" w:rsidRDefault="009D368C" w:rsidP="00D77260">
            <w:pPr>
              <w:jc w:val="center"/>
              <w:rPr>
                <w:rFonts w:ascii="Times New Roman" w:hAnsi="Times New Roman" w:cs="Times New Roman"/>
              </w:rPr>
            </w:pPr>
            <w:r w:rsidRPr="005273C8">
              <w:rPr>
                <w:rFonts w:ascii="Times New Roman" w:hAnsi="Times New Roman" w:cs="Times New Roman"/>
              </w:rPr>
              <w:t>15 / 16,9</w:t>
            </w:r>
          </w:p>
        </w:tc>
        <w:tc>
          <w:tcPr>
            <w:tcW w:w="4252" w:type="dxa"/>
            <w:noWrap/>
          </w:tcPr>
          <w:p w14:paraId="76EEB062" w14:textId="0D1299A7" w:rsidR="009D368C" w:rsidRPr="00D0375A" w:rsidRDefault="009D368C" w:rsidP="001561D0">
            <w:pPr>
              <w:jc w:val="both"/>
              <w:rPr>
                <w:rFonts w:ascii="Times New Roman" w:hAnsi="Times New Roman" w:cs="Times New Roman"/>
              </w:rPr>
            </w:pPr>
            <w:r>
              <w:rPr>
                <w:rFonts w:ascii="Times New Roman" w:hAnsi="Times New Roman" w:cs="Times New Roman"/>
              </w:rPr>
              <w:t>Vertinama, kokia dalis neįgaliųjų, lyginant su bendru neįgaliųjų skaičiumi, ataskaitiniais metais buvo aprūpinti jų savarankiškumui būtin</w:t>
            </w:r>
            <w:r w:rsidR="009068ED">
              <w:rPr>
                <w:rFonts w:ascii="Times New Roman" w:hAnsi="Times New Roman" w:cs="Times New Roman"/>
              </w:rPr>
              <w:t>omis</w:t>
            </w:r>
            <w:r>
              <w:rPr>
                <w:rFonts w:ascii="Times New Roman" w:hAnsi="Times New Roman" w:cs="Times New Roman"/>
              </w:rPr>
              <w:t xml:space="preserve"> </w:t>
            </w:r>
            <w:r w:rsidR="009068ED">
              <w:rPr>
                <w:rFonts w:ascii="Times New Roman" w:hAnsi="Times New Roman" w:cs="Times New Roman"/>
              </w:rPr>
              <w:t xml:space="preserve">techninės pagalbos priemonėmis </w:t>
            </w:r>
            <w:r>
              <w:rPr>
                <w:rFonts w:ascii="Times New Roman" w:hAnsi="Times New Roman" w:cs="Times New Roman"/>
              </w:rPr>
              <w:t xml:space="preserve"> arba </w:t>
            </w:r>
            <w:r w:rsidR="009068ED">
              <w:rPr>
                <w:rFonts w:ascii="Times New Roman" w:hAnsi="Times New Roman" w:cs="Times New Roman"/>
              </w:rPr>
              <w:t xml:space="preserve">įgijo </w:t>
            </w:r>
            <w:r>
              <w:rPr>
                <w:rFonts w:ascii="Times New Roman" w:hAnsi="Times New Roman" w:cs="Times New Roman"/>
              </w:rPr>
              <w:t xml:space="preserve">savarankiškumą dalyvaudami </w:t>
            </w:r>
            <w:r w:rsidRPr="001561D0">
              <w:rPr>
                <w:rFonts w:ascii="Times New Roman" w:hAnsi="Times New Roman" w:cs="Times New Roman"/>
              </w:rPr>
              <w:t xml:space="preserve">Žmonių su fizine negalia mobilumo ir savarankiško </w:t>
            </w:r>
            <w:r>
              <w:rPr>
                <w:rFonts w:ascii="Times New Roman" w:hAnsi="Times New Roman" w:cs="Times New Roman"/>
              </w:rPr>
              <w:t>gyvenimo įgūdžių ugdymo projektuose</w:t>
            </w:r>
          </w:p>
        </w:tc>
      </w:tr>
      <w:tr w:rsidR="009D368C" w:rsidRPr="00CB5FA9" w14:paraId="54D68C89" w14:textId="77777777" w:rsidTr="009D368C">
        <w:trPr>
          <w:trHeight w:val="864"/>
        </w:trPr>
        <w:tc>
          <w:tcPr>
            <w:tcW w:w="846" w:type="dxa"/>
            <w:vMerge/>
          </w:tcPr>
          <w:p w14:paraId="7633DA1E" w14:textId="77777777" w:rsidR="009D368C" w:rsidRPr="00D0375A" w:rsidRDefault="009D368C" w:rsidP="00D0375A">
            <w:pPr>
              <w:jc w:val="both"/>
              <w:rPr>
                <w:rFonts w:ascii="Times New Roman" w:hAnsi="Times New Roman" w:cs="Times New Roman"/>
              </w:rPr>
            </w:pPr>
          </w:p>
        </w:tc>
        <w:tc>
          <w:tcPr>
            <w:tcW w:w="1701" w:type="dxa"/>
            <w:vMerge w:val="restart"/>
            <w:hideMark/>
          </w:tcPr>
          <w:p w14:paraId="3E43B812" w14:textId="39B9B54B" w:rsidR="009D368C" w:rsidRPr="00D0375A" w:rsidRDefault="009D368C" w:rsidP="00D0375A">
            <w:pPr>
              <w:jc w:val="both"/>
              <w:rPr>
                <w:rFonts w:ascii="Times New Roman" w:hAnsi="Times New Roman" w:cs="Times New Roman"/>
              </w:rPr>
            </w:pPr>
            <w:r>
              <w:rPr>
                <w:rFonts w:ascii="Times New Roman" w:hAnsi="Times New Roman" w:cs="Times New Roman"/>
              </w:rPr>
              <w:t>2.3.</w:t>
            </w:r>
            <w:r w:rsidRPr="00D0375A">
              <w:rPr>
                <w:rFonts w:ascii="Times New Roman" w:hAnsi="Times New Roman" w:cs="Times New Roman"/>
              </w:rPr>
              <w:t xml:space="preserve">Tikslas: </w:t>
            </w:r>
            <w:r w:rsidRPr="007E6869">
              <w:rPr>
                <w:rFonts w:ascii="Times New Roman" w:hAnsi="Times New Roman" w:cs="Times New Roman"/>
              </w:rPr>
              <w:t xml:space="preserve">Siekti didesnio neįgaliųjų užimtumo darbo </w:t>
            </w:r>
            <w:r w:rsidRPr="007E6869">
              <w:rPr>
                <w:rFonts w:ascii="Times New Roman" w:hAnsi="Times New Roman" w:cs="Times New Roman"/>
              </w:rPr>
              <w:lastRenderedPageBreak/>
              <w:t>rinkoje, kultūros, sporto, laisvalaikio veiklose</w:t>
            </w:r>
          </w:p>
        </w:tc>
        <w:tc>
          <w:tcPr>
            <w:tcW w:w="2410" w:type="dxa"/>
            <w:hideMark/>
          </w:tcPr>
          <w:p w14:paraId="46F95817" w14:textId="0E85C398" w:rsidR="009D368C" w:rsidRPr="00D0375A" w:rsidRDefault="009D368C" w:rsidP="00D0375A">
            <w:pPr>
              <w:jc w:val="both"/>
              <w:rPr>
                <w:rFonts w:ascii="Times New Roman" w:hAnsi="Times New Roman" w:cs="Times New Roman"/>
              </w:rPr>
            </w:pPr>
            <w:r>
              <w:rPr>
                <w:rFonts w:ascii="Times New Roman" w:hAnsi="Times New Roman" w:cs="Times New Roman"/>
              </w:rPr>
              <w:lastRenderedPageBreak/>
              <w:t>2.3.1.</w:t>
            </w:r>
            <w:r w:rsidRPr="007E6869">
              <w:rPr>
                <w:rFonts w:ascii="Times New Roman" w:hAnsi="Times New Roman" w:cs="Times New Roman"/>
              </w:rPr>
              <w:t>darbo rinkoje užimtų neįgaliųjų dalis, procentais (nuo bendro neįgaliųjų skaičiaus)</w:t>
            </w:r>
          </w:p>
        </w:tc>
        <w:tc>
          <w:tcPr>
            <w:tcW w:w="1134" w:type="dxa"/>
            <w:noWrap/>
            <w:vAlign w:val="center"/>
            <w:hideMark/>
          </w:tcPr>
          <w:p w14:paraId="66B5441E"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17</w:t>
            </w:r>
          </w:p>
        </w:tc>
        <w:tc>
          <w:tcPr>
            <w:tcW w:w="1275" w:type="dxa"/>
            <w:noWrap/>
            <w:vAlign w:val="center"/>
            <w:hideMark/>
          </w:tcPr>
          <w:p w14:paraId="530323F7"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29</w:t>
            </w:r>
          </w:p>
        </w:tc>
        <w:tc>
          <w:tcPr>
            <w:tcW w:w="1276" w:type="dxa"/>
            <w:noWrap/>
            <w:vAlign w:val="center"/>
            <w:hideMark/>
          </w:tcPr>
          <w:p w14:paraId="3A87983E"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29</w:t>
            </w:r>
          </w:p>
        </w:tc>
        <w:tc>
          <w:tcPr>
            <w:tcW w:w="1276" w:type="dxa"/>
            <w:vAlign w:val="center"/>
          </w:tcPr>
          <w:p w14:paraId="7EE8505F" w14:textId="6C6B2923" w:rsidR="009D368C" w:rsidRPr="005273C8" w:rsidRDefault="009D368C" w:rsidP="00D77260">
            <w:pPr>
              <w:jc w:val="center"/>
              <w:rPr>
                <w:rFonts w:ascii="Times New Roman" w:hAnsi="Times New Roman" w:cs="Times New Roman"/>
              </w:rPr>
            </w:pPr>
            <w:r w:rsidRPr="005273C8">
              <w:rPr>
                <w:rFonts w:ascii="Times New Roman" w:hAnsi="Times New Roman" w:cs="Times New Roman"/>
              </w:rPr>
              <w:t>30 / 28,52</w:t>
            </w:r>
          </w:p>
        </w:tc>
        <w:tc>
          <w:tcPr>
            <w:tcW w:w="4252" w:type="dxa"/>
            <w:noWrap/>
          </w:tcPr>
          <w:p w14:paraId="31604226" w14:textId="77777777" w:rsidR="009D368C" w:rsidRPr="00D0375A" w:rsidRDefault="009D368C" w:rsidP="001561D0">
            <w:pPr>
              <w:jc w:val="both"/>
              <w:rPr>
                <w:rFonts w:ascii="Times New Roman" w:hAnsi="Times New Roman" w:cs="Times New Roman"/>
              </w:rPr>
            </w:pPr>
            <w:r>
              <w:rPr>
                <w:rFonts w:ascii="Times New Roman" w:hAnsi="Times New Roman" w:cs="Times New Roman"/>
              </w:rPr>
              <w:t xml:space="preserve">Vertinama, kokia dalis darbingo amžiaus neįgaliųjų dirbo ataskaitiniais metais </w:t>
            </w:r>
          </w:p>
        </w:tc>
      </w:tr>
      <w:tr w:rsidR="009D368C" w:rsidRPr="00CB5FA9" w14:paraId="140C09FC" w14:textId="77777777" w:rsidTr="009D368C">
        <w:trPr>
          <w:trHeight w:val="288"/>
        </w:trPr>
        <w:tc>
          <w:tcPr>
            <w:tcW w:w="846" w:type="dxa"/>
            <w:vMerge/>
          </w:tcPr>
          <w:p w14:paraId="45DA50B7" w14:textId="77777777" w:rsidR="009D368C" w:rsidRPr="00D0375A" w:rsidRDefault="009D368C" w:rsidP="00D0375A">
            <w:pPr>
              <w:jc w:val="both"/>
              <w:rPr>
                <w:rFonts w:ascii="Times New Roman" w:hAnsi="Times New Roman" w:cs="Times New Roman"/>
              </w:rPr>
            </w:pPr>
          </w:p>
        </w:tc>
        <w:tc>
          <w:tcPr>
            <w:tcW w:w="1701" w:type="dxa"/>
            <w:vMerge/>
            <w:hideMark/>
          </w:tcPr>
          <w:p w14:paraId="63575A5D" w14:textId="77777777" w:rsidR="009D368C" w:rsidRPr="00D0375A" w:rsidRDefault="009D368C" w:rsidP="00D0375A">
            <w:pPr>
              <w:jc w:val="both"/>
              <w:rPr>
                <w:rFonts w:ascii="Times New Roman" w:hAnsi="Times New Roman" w:cs="Times New Roman"/>
              </w:rPr>
            </w:pPr>
          </w:p>
        </w:tc>
        <w:tc>
          <w:tcPr>
            <w:tcW w:w="2410" w:type="dxa"/>
            <w:hideMark/>
          </w:tcPr>
          <w:p w14:paraId="2932927B" w14:textId="11EB5FE3" w:rsidR="009D368C" w:rsidRPr="00D0375A" w:rsidRDefault="009D368C" w:rsidP="00D0375A">
            <w:pPr>
              <w:jc w:val="both"/>
              <w:rPr>
                <w:rFonts w:ascii="Times New Roman" w:hAnsi="Times New Roman" w:cs="Times New Roman"/>
              </w:rPr>
            </w:pPr>
            <w:r>
              <w:rPr>
                <w:rFonts w:ascii="Times New Roman" w:hAnsi="Times New Roman" w:cs="Times New Roman"/>
              </w:rPr>
              <w:t>2.3.2.</w:t>
            </w:r>
            <w:r w:rsidRPr="007E6869">
              <w:rPr>
                <w:rFonts w:ascii="Times New Roman" w:hAnsi="Times New Roman" w:cs="Times New Roman"/>
              </w:rPr>
              <w:t>kultūros veikloje dalyvaujančių neįgaliųjų dalis, procentais (nuo bendro neįgaliųjų skaičiaus)</w:t>
            </w:r>
          </w:p>
        </w:tc>
        <w:tc>
          <w:tcPr>
            <w:tcW w:w="1134" w:type="dxa"/>
            <w:noWrap/>
            <w:vAlign w:val="center"/>
            <w:hideMark/>
          </w:tcPr>
          <w:p w14:paraId="142A335B"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2</w:t>
            </w:r>
          </w:p>
        </w:tc>
        <w:tc>
          <w:tcPr>
            <w:tcW w:w="1275" w:type="dxa"/>
            <w:noWrap/>
            <w:vAlign w:val="center"/>
            <w:hideMark/>
          </w:tcPr>
          <w:p w14:paraId="3200E627"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4,8</w:t>
            </w:r>
          </w:p>
        </w:tc>
        <w:tc>
          <w:tcPr>
            <w:tcW w:w="1276" w:type="dxa"/>
            <w:noWrap/>
            <w:vAlign w:val="center"/>
            <w:hideMark/>
          </w:tcPr>
          <w:p w14:paraId="678A3391"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11</w:t>
            </w:r>
          </w:p>
        </w:tc>
        <w:tc>
          <w:tcPr>
            <w:tcW w:w="1276" w:type="dxa"/>
            <w:vAlign w:val="center"/>
          </w:tcPr>
          <w:p w14:paraId="3BE933DE" w14:textId="5034F466" w:rsidR="009D368C" w:rsidRPr="005273C8" w:rsidRDefault="009D368C" w:rsidP="00D77260">
            <w:pPr>
              <w:jc w:val="center"/>
              <w:rPr>
                <w:rFonts w:ascii="Times New Roman" w:hAnsi="Times New Roman" w:cs="Times New Roman"/>
              </w:rPr>
            </w:pPr>
            <w:r w:rsidRPr="005273C8">
              <w:rPr>
                <w:rFonts w:ascii="Times New Roman" w:hAnsi="Times New Roman" w:cs="Times New Roman"/>
              </w:rPr>
              <w:t>8 / 2,4</w:t>
            </w:r>
          </w:p>
        </w:tc>
        <w:tc>
          <w:tcPr>
            <w:tcW w:w="4252" w:type="dxa"/>
            <w:noWrap/>
          </w:tcPr>
          <w:p w14:paraId="7C779E97" w14:textId="77777777" w:rsidR="009D368C" w:rsidRPr="00D0375A" w:rsidRDefault="009D368C" w:rsidP="00D0375A">
            <w:pPr>
              <w:jc w:val="both"/>
              <w:rPr>
                <w:rFonts w:ascii="Times New Roman" w:hAnsi="Times New Roman" w:cs="Times New Roman"/>
              </w:rPr>
            </w:pPr>
            <w:r>
              <w:rPr>
                <w:rFonts w:ascii="Times New Roman" w:hAnsi="Times New Roman" w:cs="Times New Roman"/>
              </w:rPr>
              <w:t>Vertinama, kokia dalis visų neįgaliųjų dalyvavo kultūros veiklose įgyvendinant Socialinės reabilitacijos paslaugų neįgaliesiems bendruomenėje bei Neįgaliųjų asociacijų veiklos rėmimo projektus</w:t>
            </w:r>
          </w:p>
        </w:tc>
      </w:tr>
      <w:tr w:rsidR="009D368C" w:rsidRPr="00CB5FA9" w14:paraId="16143948" w14:textId="77777777" w:rsidTr="009D368C">
        <w:trPr>
          <w:trHeight w:val="288"/>
        </w:trPr>
        <w:tc>
          <w:tcPr>
            <w:tcW w:w="846" w:type="dxa"/>
            <w:vMerge/>
          </w:tcPr>
          <w:p w14:paraId="2CE7B73B" w14:textId="77777777" w:rsidR="009D368C" w:rsidRPr="00D0375A" w:rsidRDefault="009D368C" w:rsidP="00D0375A">
            <w:pPr>
              <w:jc w:val="both"/>
              <w:rPr>
                <w:rFonts w:ascii="Times New Roman" w:hAnsi="Times New Roman" w:cs="Times New Roman"/>
              </w:rPr>
            </w:pPr>
          </w:p>
        </w:tc>
        <w:tc>
          <w:tcPr>
            <w:tcW w:w="1701" w:type="dxa"/>
            <w:vMerge/>
            <w:hideMark/>
          </w:tcPr>
          <w:p w14:paraId="506D0C21" w14:textId="77777777" w:rsidR="009D368C" w:rsidRPr="00D0375A" w:rsidRDefault="009D368C" w:rsidP="00D0375A">
            <w:pPr>
              <w:jc w:val="both"/>
              <w:rPr>
                <w:rFonts w:ascii="Times New Roman" w:hAnsi="Times New Roman" w:cs="Times New Roman"/>
              </w:rPr>
            </w:pPr>
          </w:p>
        </w:tc>
        <w:tc>
          <w:tcPr>
            <w:tcW w:w="2410" w:type="dxa"/>
            <w:hideMark/>
          </w:tcPr>
          <w:p w14:paraId="02772296" w14:textId="15B10DF0" w:rsidR="009D368C" w:rsidRPr="00D0375A" w:rsidRDefault="009D368C" w:rsidP="00D0375A">
            <w:pPr>
              <w:jc w:val="both"/>
              <w:rPr>
                <w:rFonts w:ascii="Times New Roman" w:hAnsi="Times New Roman" w:cs="Times New Roman"/>
              </w:rPr>
            </w:pPr>
            <w:r>
              <w:rPr>
                <w:rFonts w:ascii="Times New Roman" w:hAnsi="Times New Roman" w:cs="Times New Roman"/>
              </w:rPr>
              <w:t>2.3.3.</w:t>
            </w:r>
            <w:r w:rsidRPr="007E6869">
              <w:rPr>
                <w:rFonts w:ascii="Times New Roman" w:hAnsi="Times New Roman" w:cs="Times New Roman"/>
              </w:rPr>
              <w:t>sporto veikloje dalyvaujančių neįgaliųjų dalis, procentais (nuo bendro neįgaliųjų skaičiaus)</w:t>
            </w:r>
          </w:p>
        </w:tc>
        <w:tc>
          <w:tcPr>
            <w:tcW w:w="1134" w:type="dxa"/>
            <w:noWrap/>
            <w:vAlign w:val="center"/>
            <w:hideMark/>
          </w:tcPr>
          <w:p w14:paraId="2F768ABE"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2</w:t>
            </w:r>
          </w:p>
        </w:tc>
        <w:tc>
          <w:tcPr>
            <w:tcW w:w="1275" w:type="dxa"/>
            <w:noWrap/>
            <w:vAlign w:val="center"/>
            <w:hideMark/>
          </w:tcPr>
          <w:p w14:paraId="71B561FB"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2,</w:t>
            </w:r>
            <w:r>
              <w:rPr>
                <w:rFonts w:ascii="Times New Roman" w:hAnsi="Times New Roman" w:cs="Times New Roman"/>
              </w:rPr>
              <w:t>25</w:t>
            </w:r>
          </w:p>
        </w:tc>
        <w:tc>
          <w:tcPr>
            <w:tcW w:w="1276" w:type="dxa"/>
            <w:noWrap/>
            <w:vAlign w:val="center"/>
            <w:hideMark/>
          </w:tcPr>
          <w:p w14:paraId="567CCB8D"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2,64</w:t>
            </w:r>
          </w:p>
        </w:tc>
        <w:tc>
          <w:tcPr>
            <w:tcW w:w="1276" w:type="dxa"/>
            <w:vAlign w:val="center"/>
          </w:tcPr>
          <w:p w14:paraId="0C99B352" w14:textId="4BF370D0" w:rsidR="009D368C" w:rsidRPr="005273C8" w:rsidRDefault="009D368C" w:rsidP="00D77260">
            <w:pPr>
              <w:jc w:val="center"/>
              <w:rPr>
                <w:rFonts w:ascii="Times New Roman" w:hAnsi="Times New Roman" w:cs="Times New Roman"/>
              </w:rPr>
            </w:pPr>
            <w:r w:rsidRPr="005273C8">
              <w:rPr>
                <w:rFonts w:ascii="Times New Roman" w:hAnsi="Times New Roman" w:cs="Times New Roman"/>
              </w:rPr>
              <w:t>2,9 / 1,39</w:t>
            </w:r>
          </w:p>
        </w:tc>
        <w:tc>
          <w:tcPr>
            <w:tcW w:w="4252" w:type="dxa"/>
            <w:noWrap/>
          </w:tcPr>
          <w:p w14:paraId="7F81151F" w14:textId="77777777" w:rsidR="009D368C" w:rsidRPr="00D0375A" w:rsidRDefault="009D368C" w:rsidP="00D0375A">
            <w:pPr>
              <w:jc w:val="both"/>
              <w:rPr>
                <w:rFonts w:ascii="Times New Roman" w:hAnsi="Times New Roman" w:cs="Times New Roman"/>
              </w:rPr>
            </w:pPr>
            <w:r>
              <w:rPr>
                <w:rFonts w:ascii="Times New Roman" w:hAnsi="Times New Roman" w:cs="Times New Roman"/>
              </w:rPr>
              <w:t>Vertinama, kokia dalis visų neįgaliųjų dalyvavo sporto veiklose (KKSD duomenimis)</w:t>
            </w:r>
          </w:p>
        </w:tc>
      </w:tr>
      <w:tr w:rsidR="009D368C" w:rsidRPr="00CB5FA9" w14:paraId="53C5071C" w14:textId="77777777" w:rsidTr="009D368C">
        <w:trPr>
          <w:trHeight w:val="1440"/>
        </w:trPr>
        <w:tc>
          <w:tcPr>
            <w:tcW w:w="846" w:type="dxa"/>
            <w:vMerge/>
          </w:tcPr>
          <w:p w14:paraId="20E62BBE" w14:textId="77777777" w:rsidR="009D368C" w:rsidRPr="00D0375A" w:rsidRDefault="009D368C" w:rsidP="00D0375A">
            <w:pPr>
              <w:jc w:val="both"/>
              <w:rPr>
                <w:rFonts w:ascii="Times New Roman" w:hAnsi="Times New Roman" w:cs="Times New Roman"/>
              </w:rPr>
            </w:pPr>
          </w:p>
        </w:tc>
        <w:tc>
          <w:tcPr>
            <w:tcW w:w="1701" w:type="dxa"/>
            <w:vMerge w:val="restart"/>
            <w:hideMark/>
          </w:tcPr>
          <w:p w14:paraId="3928CE6C" w14:textId="60400F04" w:rsidR="009D368C" w:rsidRPr="00D0375A" w:rsidRDefault="009D368C" w:rsidP="00D0375A">
            <w:pPr>
              <w:jc w:val="both"/>
              <w:rPr>
                <w:rFonts w:ascii="Times New Roman" w:hAnsi="Times New Roman" w:cs="Times New Roman"/>
              </w:rPr>
            </w:pPr>
            <w:r>
              <w:rPr>
                <w:rFonts w:ascii="Times New Roman" w:hAnsi="Times New Roman" w:cs="Times New Roman"/>
              </w:rPr>
              <w:t>2.4.</w:t>
            </w:r>
            <w:r w:rsidRPr="00D0375A">
              <w:rPr>
                <w:rFonts w:ascii="Times New Roman" w:hAnsi="Times New Roman" w:cs="Times New Roman"/>
              </w:rPr>
              <w:t xml:space="preserve">Tikslas: </w:t>
            </w:r>
            <w:r w:rsidRPr="007E6869">
              <w:rPr>
                <w:rFonts w:ascii="Times New Roman" w:hAnsi="Times New Roman" w:cs="Times New Roman"/>
              </w:rPr>
              <w:t>Užtikrinti neįgaliųjų teisių, pagrindinių laisvių gynimą nuo diskriminacijos dėl neįgalumo ir sudaryti</w:t>
            </w:r>
            <w:r>
              <w:rPr>
                <w:rFonts w:ascii="Times New Roman" w:hAnsi="Times New Roman" w:cs="Times New Roman"/>
              </w:rPr>
              <w:t xml:space="preserve"> </w:t>
            </w:r>
            <w:r w:rsidRPr="007E6869">
              <w:rPr>
                <w:rFonts w:ascii="Times New Roman" w:hAnsi="Times New Roman" w:cs="Times New Roman"/>
              </w:rPr>
              <w:t>sąlygas tobulinti neįgaliųjų socialinės integracijos proceso valdymą</w:t>
            </w:r>
          </w:p>
        </w:tc>
        <w:tc>
          <w:tcPr>
            <w:tcW w:w="2410" w:type="dxa"/>
            <w:hideMark/>
          </w:tcPr>
          <w:p w14:paraId="6D83DA20" w14:textId="12D55721" w:rsidR="009D368C" w:rsidRPr="00D0375A" w:rsidRDefault="009D368C" w:rsidP="00D0375A">
            <w:pPr>
              <w:jc w:val="both"/>
              <w:rPr>
                <w:rFonts w:ascii="Times New Roman" w:hAnsi="Times New Roman" w:cs="Times New Roman"/>
              </w:rPr>
            </w:pPr>
            <w:r>
              <w:rPr>
                <w:rFonts w:ascii="Times New Roman" w:hAnsi="Times New Roman" w:cs="Times New Roman"/>
              </w:rPr>
              <w:t>2.4.1.</w:t>
            </w:r>
            <w:r w:rsidRPr="007E6869">
              <w:rPr>
                <w:rFonts w:ascii="Times New Roman" w:hAnsi="Times New Roman" w:cs="Times New Roman"/>
              </w:rPr>
              <w:t>visuomenės nuomonė dėl neįgaliųjų diskriminacijos, balais</w:t>
            </w:r>
            <w:r w:rsidRPr="00D0375A">
              <w:rPr>
                <w:rFonts w:ascii="Times New Roman" w:hAnsi="Times New Roman" w:cs="Times New Roman"/>
              </w:rPr>
              <w:t xml:space="preserve"> (balais) (1 – mažiausia diskriminacija, 10 – didžiausia diskriminacija)</w:t>
            </w:r>
          </w:p>
        </w:tc>
        <w:tc>
          <w:tcPr>
            <w:tcW w:w="1134" w:type="dxa"/>
            <w:noWrap/>
            <w:vAlign w:val="center"/>
            <w:hideMark/>
          </w:tcPr>
          <w:p w14:paraId="7653F61B"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5,07</w:t>
            </w:r>
          </w:p>
        </w:tc>
        <w:tc>
          <w:tcPr>
            <w:tcW w:w="1275" w:type="dxa"/>
            <w:vAlign w:val="center"/>
            <w:hideMark/>
          </w:tcPr>
          <w:p w14:paraId="0E156D03"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5,21</w:t>
            </w:r>
          </w:p>
        </w:tc>
        <w:tc>
          <w:tcPr>
            <w:tcW w:w="1276" w:type="dxa"/>
            <w:noWrap/>
            <w:vAlign w:val="center"/>
            <w:hideMark/>
          </w:tcPr>
          <w:p w14:paraId="6703C1A9"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5,21</w:t>
            </w:r>
          </w:p>
        </w:tc>
        <w:tc>
          <w:tcPr>
            <w:tcW w:w="1276" w:type="dxa"/>
            <w:vAlign w:val="center"/>
          </w:tcPr>
          <w:p w14:paraId="16296BBB" w14:textId="09E60FB0" w:rsidR="009D368C" w:rsidRPr="005273C8" w:rsidRDefault="009D368C" w:rsidP="00D77260">
            <w:pPr>
              <w:jc w:val="center"/>
              <w:rPr>
                <w:rFonts w:ascii="Times New Roman" w:eastAsia="Times New Roman" w:hAnsi="Times New Roman" w:cs="Times New Roman"/>
                <w:lang w:eastAsia="lt-LT"/>
              </w:rPr>
            </w:pPr>
            <w:r w:rsidRPr="005273C8">
              <w:rPr>
                <w:rFonts w:ascii="Times New Roman" w:eastAsia="Times New Roman" w:hAnsi="Times New Roman" w:cs="Times New Roman"/>
                <w:lang w:eastAsia="lt-LT"/>
              </w:rPr>
              <w:t>3 / 5,57</w:t>
            </w:r>
          </w:p>
        </w:tc>
        <w:tc>
          <w:tcPr>
            <w:tcW w:w="4252" w:type="dxa"/>
            <w:noWrap/>
          </w:tcPr>
          <w:p w14:paraId="4E1697A9" w14:textId="77777777" w:rsidR="009D368C" w:rsidRPr="009606C3" w:rsidRDefault="009D368C" w:rsidP="001561D0">
            <w:pPr>
              <w:jc w:val="both"/>
              <w:rPr>
                <w:rFonts w:ascii="Times New Roman" w:hAnsi="Times New Roman" w:cs="Times New Roman"/>
              </w:rPr>
            </w:pPr>
            <w:r w:rsidRPr="009606C3">
              <w:rPr>
                <w:rFonts w:ascii="Times New Roman" w:eastAsia="Times New Roman" w:hAnsi="Times New Roman" w:cs="Times New Roman"/>
                <w:lang w:eastAsia="lt-LT"/>
              </w:rPr>
              <w:t>Kriterijaus šaltinis -Žmogaus teisių stebėjimo instituto kas 2 metus vykdomas tyrimas „Kaip visuomenė vertina žmogaus teisių padėtį Lietuvoje“</w:t>
            </w:r>
          </w:p>
        </w:tc>
      </w:tr>
      <w:tr w:rsidR="009D368C" w:rsidRPr="00CB5FA9" w14:paraId="245041C0" w14:textId="77777777" w:rsidTr="009D368C">
        <w:trPr>
          <w:trHeight w:val="576"/>
        </w:trPr>
        <w:tc>
          <w:tcPr>
            <w:tcW w:w="846" w:type="dxa"/>
            <w:vMerge/>
          </w:tcPr>
          <w:p w14:paraId="48AE9969" w14:textId="77777777" w:rsidR="009D368C" w:rsidRPr="00D0375A" w:rsidRDefault="009D368C" w:rsidP="00D0375A">
            <w:pPr>
              <w:jc w:val="both"/>
              <w:rPr>
                <w:rFonts w:ascii="Times New Roman" w:hAnsi="Times New Roman" w:cs="Times New Roman"/>
              </w:rPr>
            </w:pPr>
          </w:p>
        </w:tc>
        <w:tc>
          <w:tcPr>
            <w:tcW w:w="1701" w:type="dxa"/>
            <w:vMerge/>
            <w:hideMark/>
          </w:tcPr>
          <w:p w14:paraId="6D401B9F" w14:textId="77777777" w:rsidR="009D368C" w:rsidRPr="00D0375A" w:rsidRDefault="009D368C" w:rsidP="00D0375A">
            <w:pPr>
              <w:jc w:val="both"/>
              <w:rPr>
                <w:rFonts w:ascii="Times New Roman" w:hAnsi="Times New Roman" w:cs="Times New Roman"/>
              </w:rPr>
            </w:pPr>
          </w:p>
        </w:tc>
        <w:tc>
          <w:tcPr>
            <w:tcW w:w="2410" w:type="dxa"/>
            <w:hideMark/>
          </w:tcPr>
          <w:p w14:paraId="4F7091BB" w14:textId="780E45B5" w:rsidR="009D368C" w:rsidRPr="00D0375A" w:rsidRDefault="009D368C" w:rsidP="00D0375A">
            <w:pPr>
              <w:jc w:val="both"/>
              <w:rPr>
                <w:rFonts w:ascii="Times New Roman" w:hAnsi="Times New Roman" w:cs="Times New Roman"/>
              </w:rPr>
            </w:pPr>
            <w:r>
              <w:rPr>
                <w:rFonts w:ascii="Times New Roman" w:hAnsi="Times New Roman" w:cs="Times New Roman"/>
              </w:rPr>
              <w:t>2.4.2.</w:t>
            </w:r>
            <w:r w:rsidRPr="007E6869">
              <w:rPr>
                <w:rFonts w:ascii="Times New Roman" w:hAnsi="Times New Roman" w:cs="Times New Roman"/>
              </w:rPr>
              <w:t>neįgaliųjų, dalyvaujančių visuomeninėse organizacijose ir judėjimuose, dalis, procentais (nuo bendro neįgaliųjų skaičiaus)</w:t>
            </w:r>
          </w:p>
        </w:tc>
        <w:tc>
          <w:tcPr>
            <w:tcW w:w="1134" w:type="dxa"/>
            <w:noWrap/>
            <w:vAlign w:val="center"/>
            <w:hideMark/>
          </w:tcPr>
          <w:p w14:paraId="2C938D39"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39</w:t>
            </w:r>
          </w:p>
        </w:tc>
        <w:tc>
          <w:tcPr>
            <w:tcW w:w="1275" w:type="dxa"/>
            <w:noWrap/>
            <w:vAlign w:val="center"/>
            <w:hideMark/>
          </w:tcPr>
          <w:p w14:paraId="339D98D4" w14:textId="77777777" w:rsidR="009D368C" w:rsidRPr="00D0375A" w:rsidRDefault="009D368C" w:rsidP="000154F5">
            <w:pPr>
              <w:jc w:val="center"/>
              <w:rPr>
                <w:rFonts w:ascii="Times New Roman" w:hAnsi="Times New Roman" w:cs="Times New Roman"/>
              </w:rPr>
            </w:pPr>
            <w:r w:rsidRPr="00D0375A">
              <w:rPr>
                <w:rFonts w:ascii="Times New Roman" w:hAnsi="Times New Roman" w:cs="Times New Roman"/>
              </w:rPr>
              <w:t>32</w:t>
            </w:r>
          </w:p>
        </w:tc>
        <w:tc>
          <w:tcPr>
            <w:tcW w:w="1276" w:type="dxa"/>
            <w:noWrap/>
            <w:vAlign w:val="center"/>
            <w:hideMark/>
          </w:tcPr>
          <w:p w14:paraId="3FFCBDAE" w14:textId="77777777" w:rsidR="009D368C" w:rsidRPr="00D0375A" w:rsidRDefault="009D368C" w:rsidP="000154F5">
            <w:pPr>
              <w:jc w:val="center"/>
              <w:rPr>
                <w:rFonts w:ascii="Times New Roman" w:hAnsi="Times New Roman" w:cs="Times New Roman"/>
              </w:rPr>
            </w:pPr>
            <w:r>
              <w:rPr>
                <w:rFonts w:ascii="Times New Roman" w:hAnsi="Times New Roman" w:cs="Times New Roman"/>
              </w:rPr>
              <w:t>35,6</w:t>
            </w:r>
          </w:p>
        </w:tc>
        <w:tc>
          <w:tcPr>
            <w:tcW w:w="1276" w:type="dxa"/>
            <w:vAlign w:val="center"/>
          </w:tcPr>
          <w:p w14:paraId="5E058CAF" w14:textId="31019812" w:rsidR="009D368C" w:rsidRPr="005273C8" w:rsidRDefault="009D368C" w:rsidP="00D77260">
            <w:pPr>
              <w:jc w:val="center"/>
              <w:rPr>
                <w:rFonts w:ascii="Times New Roman" w:hAnsi="Times New Roman" w:cs="Times New Roman"/>
              </w:rPr>
            </w:pPr>
            <w:r w:rsidRPr="005273C8">
              <w:rPr>
                <w:rFonts w:ascii="Times New Roman" w:hAnsi="Times New Roman" w:cs="Times New Roman"/>
              </w:rPr>
              <w:t>45 / 25,6</w:t>
            </w:r>
          </w:p>
        </w:tc>
        <w:tc>
          <w:tcPr>
            <w:tcW w:w="4252" w:type="dxa"/>
            <w:noWrap/>
          </w:tcPr>
          <w:p w14:paraId="15F2F290" w14:textId="77777777" w:rsidR="009D368C" w:rsidRPr="00D0375A" w:rsidRDefault="009D368C" w:rsidP="009606C3">
            <w:pPr>
              <w:jc w:val="both"/>
              <w:rPr>
                <w:rFonts w:ascii="Times New Roman" w:hAnsi="Times New Roman" w:cs="Times New Roman"/>
              </w:rPr>
            </w:pPr>
            <w:r>
              <w:rPr>
                <w:rFonts w:ascii="Times New Roman" w:hAnsi="Times New Roman" w:cs="Times New Roman"/>
              </w:rPr>
              <w:t xml:space="preserve">Skaičiuojama, kokia dalis visų neįgaliųjų dalyvauja pagrindinių šalies </w:t>
            </w:r>
            <w:r w:rsidRPr="009606C3">
              <w:rPr>
                <w:rFonts w:ascii="Times New Roman" w:hAnsi="Times New Roman" w:cs="Times New Roman"/>
              </w:rPr>
              <w:t xml:space="preserve">skėtinių neįgaliųjų nevyriausybinių organizacijų </w:t>
            </w:r>
            <w:r>
              <w:rPr>
                <w:rFonts w:ascii="Times New Roman" w:hAnsi="Times New Roman" w:cs="Times New Roman"/>
              </w:rPr>
              <w:t xml:space="preserve">ir jų padalinių </w:t>
            </w:r>
            <w:r w:rsidRPr="009606C3">
              <w:rPr>
                <w:rFonts w:ascii="Times New Roman" w:hAnsi="Times New Roman" w:cs="Times New Roman"/>
              </w:rPr>
              <w:t>narystėje</w:t>
            </w:r>
          </w:p>
        </w:tc>
      </w:tr>
    </w:tbl>
    <w:p w14:paraId="35F72882" w14:textId="77777777" w:rsidR="007E6869" w:rsidRDefault="007E6869">
      <w:pPr>
        <w:rPr>
          <w:rFonts w:ascii="Times New Roman" w:hAnsi="Times New Roman" w:cs="Times New Roman"/>
        </w:rPr>
      </w:pPr>
    </w:p>
    <w:p w14:paraId="1E61C8B9" w14:textId="77777777" w:rsidR="00C637D8" w:rsidRDefault="00C637D8" w:rsidP="00E40E46">
      <w:pPr>
        <w:spacing w:after="0" w:line="240" w:lineRule="auto"/>
        <w:ind w:firstLine="709"/>
        <w:jc w:val="both"/>
        <w:rPr>
          <w:rFonts w:ascii="Times New Roman" w:hAnsi="Times New Roman" w:cs="Times New Roman"/>
        </w:rPr>
        <w:sectPr w:rsidR="00C637D8" w:rsidSect="00C637D8">
          <w:pgSz w:w="16838" w:h="11906" w:orient="landscape"/>
          <w:pgMar w:top="1701" w:right="1701" w:bottom="567" w:left="1134" w:header="567" w:footer="567" w:gutter="0"/>
          <w:cols w:space="1296"/>
          <w:titlePg/>
          <w:docGrid w:linePitch="360"/>
        </w:sectPr>
      </w:pPr>
    </w:p>
    <w:p w14:paraId="65D9E12F" w14:textId="30934F9B" w:rsidR="007E6869" w:rsidRPr="00E40E46" w:rsidRDefault="007E6869" w:rsidP="00E40E46">
      <w:pPr>
        <w:spacing w:after="0" w:line="240" w:lineRule="auto"/>
        <w:ind w:firstLine="709"/>
        <w:jc w:val="both"/>
        <w:rPr>
          <w:rFonts w:ascii="Times New Roman" w:hAnsi="Times New Roman" w:cs="Times New Roman"/>
        </w:rPr>
      </w:pPr>
    </w:p>
    <w:p w14:paraId="32CBD712" w14:textId="77777777" w:rsidR="009D368C" w:rsidRDefault="009D368C" w:rsidP="009D368C">
      <w:pPr>
        <w:spacing w:after="0" w:line="240" w:lineRule="auto"/>
        <w:ind w:firstLine="709"/>
        <w:jc w:val="right"/>
        <w:rPr>
          <w:rFonts w:ascii="Times New Roman" w:hAnsi="Times New Roman" w:cs="Times New Roman"/>
          <w:b/>
          <w:sz w:val="24"/>
          <w:szCs w:val="24"/>
        </w:rPr>
      </w:pPr>
      <w:r w:rsidRPr="009D368C">
        <w:rPr>
          <w:rFonts w:ascii="Times New Roman" w:hAnsi="Times New Roman" w:cs="Times New Roman"/>
          <w:b/>
          <w:sz w:val="24"/>
          <w:szCs w:val="24"/>
        </w:rPr>
        <w:t xml:space="preserve">2 lentelė. </w:t>
      </w:r>
    </w:p>
    <w:p w14:paraId="1BE86C36" w14:textId="7C4F77A4" w:rsidR="009606C3" w:rsidRPr="00E932EE" w:rsidRDefault="009D368C" w:rsidP="009D368C">
      <w:pPr>
        <w:spacing w:after="0" w:line="240" w:lineRule="auto"/>
        <w:ind w:firstLine="709"/>
        <w:jc w:val="right"/>
        <w:rPr>
          <w:rFonts w:ascii="Times New Roman" w:hAnsi="Times New Roman" w:cs="Times New Roman"/>
          <w:sz w:val="24"/>
          <w:szCs w:val="24"/>
        </w:rPr>
      </w:pPr>
      <w:r w:rsidRPr="009D368C">
        <w:rPr>
          <w:rFonts w:ascii="Times New Roman" w:hAnsi="Times New Roman" w:cs="Times New Roman"/>
          <w:b/>
          <w:sz w:val="24"/>
          <w:szCs w:val="24"/>
        </w:rPr>
        <w:t>Informacija</w:t>
      </w:r>
      <w:r w:rsidR="009606C3" w:rsidRPr="009D368C">
        <w:rPr>
          <w:rFonts w:ascii="Times New Roman" w:hAnsi="Times New Roman" w:cs="Times New Roman"/>
          <w:b/>
          <w:sz w:val="24"/>
          <w:szCs w:val="24"/>
        </w:rPr>
        <w:t xml:space="preserve"> apie pagrindinių priemonių plano tikslų </w:t>
      </w:r>
      <w:r w:rsidR="006B54BD" w:rsidRPr="009D368C">
        <w:rPr>
          <w:rFonts w:ascii="Times New Roman" w:hAnsi="Times New Roman" w:cs="Times New Roman"/>
          <w:b/>
          <w:sz w:val="24"/>
          <w:szCs w:val="24"/>
        </w:rPr>
        <w:t>(</w:t>
      </w:r>
      <w:r w:rsidR="006B29B0" w:rsidRPr="009D368C">
        <w:rPr>
          <w:rFonts w:ascii="Times New Roman" w:hAnsi="Times New Roman" w:cs="Times New Roman"/>
          <w:b/>
          <w:sz w:val="24"/>
          <w:szCs w:val="24"/>
        </w:rPr>
        <w:t>rezultato</w:t>
      </w:r>
      <w:r w:rsidR="006B54BD" w:rsidRPr="009D368C">
        <w:rPr>
          <w:rFonts w:ascii="Times New Roman" w:hAnsi="Times New Roman" w:cs="Times New Roman"/>
          <w:b/>
          <w:sz w:val="24"/>
          <w:szCs w:val="24"/>
        </w:rPr>
        <w:t>)</w:t>
      </w:r>
      <w:r w:rsidR="006B29B0" w:rsidRPr="009D368C">
        <w:rPr>
          <w:rFonts w:ascii="Times New Roman" w:hAnsi="Times New Roman" w:cs="Times New Roman"/>
          <w:b/>
          <w:sz w:val="24"/>
          <w:szCs w:val="24"/>
        </w:rPr>
        <w:t xml:space="preserve"> </w:t>
      </w:r>
      <w:r w:rsidR="009606C3" w:rsidRPr="009D368C">
        <w:rPr>
          <w:rFonts w:ascii="Times New Roman" w:hAnsi="Times New Roman" w:cs="Times New Roman"/>
          <w:b/>
          <w:sz w:val="24"/>
          <w:szCs w:val="24"/>
        </w:rPr>
        <w:t xml:space="preserve">vertinimo kriterijų pokyčius </w:t>
      </w:r>
      <w:r w:rsidR="00ED4923">
        <w:rPr>
          <w:rFonts w:ascii="Times New Roman" w:hAnsi="Times New Roman" w:cs="Times New Roman"/>
          <w:b/>
          <w:sz w:val="24"/>
          <w:szCs w:val="24"/>
        </w:rPr>
        <w:t xml:space="preserve">2013 - </w:t>
      </w:r>
      <w:r w:rsidR="00E932EE" w:rsidRPr="009D368C">
        <w:rPr>
          <w:rFonts w:ascii="Times New Roman" w:hAnsi="Times New Roman" w:cs="Times New Roman"/>
          <w:b/>
          <w:sz w:val="24"/>
          <w:szCs w:val="24"/>
        </w:rPr>
        <w:t>2020 metais</w:t>
      </w:r>
    </w:p>
    <w:p w14:paraId="3E8C1016" w14:textId="77777777" w:rsidR="009606C3" w:rsidRDefault="009606C3" w:rsidP="009606C3">
      <w:pPr>
        <w:spacing w:after="0" w:line="240" w:lineRule="auto"/>
        <w:ind w:firstLine="709"/>
        <w:jc w:val="both"/>
        <w:rPr>
          <w:rFonts w:ascii="Times New Roman" w:hAnsi="Times New Roman" w:cs="Times New Roman"/>
        </w:rPr>
      </w:pPr>
    </w:p>
    <w:tbl>
      <w:tblPr>
        <w:tblStyle w:val="TableGrid"/>
        <w:tblW w:w="14283" w:type="dxa"/>
        <w:tblLayout w:type="fixed"/>
        <w:tblLook w:val="04A0" w:firstRow="1" w:lastRow="0" w:firstColumn="1" w:lastColumn="0" w:noHBand="0" w:noVBand="1"/>
      </w:tblPr>
      <w:tblGrid>
        <w:gridCol w:w="6091"/>
        <w:gridCol w:w="8192"/>
      </w:tblGrid>
      <w:tr w:rsidR="00D07AD9" w14:paraId="51E5B592" w14:textId="77777777" w:rsidTr="007066CA">
        <w:trPr>
          <w:trHeight w:val="877"/>
        </w:trPr>
        <w:tc>
          <w:tcPr>
            <w:tcW w:w="6091" w:type="dxa"/>
          </w:tcPr>
          <w:p w14:paraId="3075B3E7" w14:textId="77777777" w:rsidR="00294F06" w:rsidRDefault="00294F06" w:rsidP="00294F06">
            <w:pPr>
              <w:jc w:val="center"/>
              <w:rPr>
                <w:rFonts w:ascii="Times New Roman" w:hAnsi="Times New Roman" w:cs="Times New Roman"/>
                <w:b/>
                <w:bCs/>
                <w:sz w:val="24"/>
                <w:szCs w:val="24"/>
              </w:rPr>
            </w:pPr>
          </w:p>
          <w:p w14:paraId="1E51E5E0" w14:textId="2B77DD68" w:rsidR="00D07AD9" w:rsidRPr="0000033A" w:rsidRDefault="00D07AD9" w:rsidP="00294F06">
            <w:pPr>
              <w:jc w:val="center"/>
              <w:rPr>
                <w:rFonts w:ascii="Times New Roman" w:hAnsi="Times New Roman" w:cs="Times New Roman"/>
                <w:b/>
                <w:bCs/>
                <w:sz w:val="24"/>
                <w:szCs w:val="24"/>
              </w:rPr>
            </w:pPr>
            <w:r w:rsidRPr="0000033A">
              <w:rPr>
                <w:rFonts w:ascii="Times New Roman" w:hAnsi="Times New Roman" w:cs="Times New Roman"/>
                <w:b/>
                <w:bCs/>
                <w:sz w:val="24"/>
                <w:szCs w:val="24"/>
              </w:rPr>
              <w:t>Rezultato vertinimo kriterijaus pokytis</w:t>
            </w:r>
          </w:p>
          <w:p w14:paraId="46EC7999" w14:textId="77777777" w:rsidR="00D07AD9" w:rsidRPr="0000033A" w:rsidRDefault="00D07AD9" w:rsidP="00294F06">
            <w:pPr>
              <w:jc w:val="center"/>
              <w:rPr>
                <w:rFonts w:ascii="Times New Roman" w:hAnsi="Times New Roman" w:cs="Times New Roman"/>
                <w:b/>
                <w:bCs/>
                <w:sz w:val="24"/>
                <w:szCs w:val="24"/>
              </w:rPr>
            </w:pPr>
          </w:p>
        </w:tc>
        <w:tc>
          <w:tcPr>
            <w:tcW w:w="8192" w:type="dxa"/>
          </w:tcPr>
          <w:p w14:paraId="0F78E1B7" w14:textId="77777777" w:rsidR="00294F06" w:rsidRDefault="00294F06" w:rsidP="00294F06">
            <w:pPr>
              <w:jc w:val="center"/>
              <w:rPr>
                <w:rFonts w:ascii="Times New Roman" w:hAnsi="Times New Roman" w:cs="Times New Roman"/>
                <w:b/>
                <w:bCs/>
                <w:sz w:val="24"/>
                <w:szCs w:val="24"/>
              </w:rPr>
            </w:pPr>
          </w:p>
          <w:p w14:paraId="7901B766" w14:textId="320546C6" w:rsidR="00D07AD9" w:rsidRPr="0000033A" w:rsidRDefault="00D07AD9" w:rsidP="00294F06">
            <w:pPr>
              <w:jc w:val="center"/>
              <w:rPr>
                <w:rFonts w:ascii="Times New Roman" w:hAnsi="Times New Roman" w:cs="Times New Roman"/>
                <w:b/>
                <w:bCs/>
                <w:sz w:val="24"/>
                <w:szCs w:val="24"/>
              </w:rPr>
            </w:pPr>
            <w:r w:rsidRPr="0000033A">
              <w:rPr>
                <w:rFonts w:ascii="Times New Roman" w:hAnsi="Times New Roman" w:cs="Times New Roman"/>
                <w:b/>
                <w:bCs/>
                <w:sz w:val="24"/>
                <w:szCs w:val="24"/>
              </w:rPr>
              <w:t>Pastaba</w:t>
            </w:r>
          </w:p>
        </w:tc>
      </w:tr>
      <w:tr w:rsidR="00D07AD9" w14:paraId="7C1E97BA" w14:textId="77777777" w:rsidTr="007066CA">
        <w:tc>
          <w:tcPr>
            <w:tcW w:w="6091" w:type="dxa"/>
          </w:tcPr>
          <w:p w14:paraId="74738311" w14:textId="77777777" w:rsidR="00D07AD9" w:rsidRDefault="00D07AD9" w:rsidP="009606C3">
            <w:pPr>
              <w:jc w:val="both"/>
              <w:rPr>
                <w:rFonts w:ascii="Times New Roman" w:hAnsi="Times New Roman" w:cs="Times New Roman"/>
              </w:rPr>
            </w:pPr>
            <w:r>
              <w:rPr>
                <w:rFonts w:ascii="Times New Roman" w:hAnsi="Times New Roman" w:cs="Times New Roman"/>
              </w:rPr>
              <w:t>E-01-01</w:t>
            </w:r>
          </w:p>
          <w:p w14:paraId="0E782C00" w14:textId="575B2248" w:rsidR="00D07AD9" w:rsidRDefault="0000033A" w:rsidP="006B54BD">
            <w:pPr>
              <w:jc w:val="center"/>
              <w:rPr>
                <w:rFonts w:ascii="Times New Roman" w:hAnsi="Times New Roman" w:cs="Times New Roman"/>
              </w:rPr>
            </w:pPr>
            <w:r>
              <w:rPr>
                <w:noProof/>
              </w:rPr>
              <w:drawing>
                <wp:inline distT="0" distB="0" distL="0" distR="0" wp14:anchorId="5E3F17B2" wp14:editId="47943512">
                  <wp:extent cx="3495675" cy="2085975"/>
                  <wp:effectExtent l="0" t="0" r="9525" b="9525"/>
                  <wp:docPr id="1" name="Chart 1" descr="2020 m.&#10;">
                    <a:extLst xmlns:a="http://schemas.openxmlformats.org/drawingml/2006/main">
                      <a:ext uri="{FF2B5EF4-FFF2-40B4-BE49-F238E27FC236}">
                        <a16:creationId xmlns:a16="http://schemas.microsoft.com/office/drawing/2014/main" id="{FB3A155B-1A45-4310-B5CF-F5C2CAD49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8192" w:type="dxa"/>
          </w:tcPr>
          <w:p w14:paraId="333CA330" w14:textId="77777777" w:rsidR="00D07AD9" w:rsidRDefault="00D07AD9" w:rsidP="006B29B0">
            <w:pPr>
              <w:jc w:val="both"/>
              <w:rPr>
                <w:rFonts w:ascii="Times New Roman" w:hAnsi="Times New Roman" w:cs="Times New Roman"/>
              </w:rPr>
            </w:pPr>
            <w:r>
              <w:rPr>
                <w:rFonts w:ascii="Times New Roman" w:hAnsi="Times New Roman" w:cs="Times New Roman"/>
              </w:rPr>
              <w:t xml:space="preserve">Vertinama, kiek procentų neįgaliųjų gavo įvairias nuolatines, mažiausiai keletą kartų per savaitę besikartojančias socialinės apsaugos paslaugas (socialines, socialinės reabilitacijos, dienos bei stacionarios globos). </w:t>
            </w:r>
          </w:p>
          <w:p w14:paraId="384D4234" w14:textId="44729ABF" w:rsidR="00D07AD9" w:rsidRDefault="00D07AD9" w:rsidP="006B54BD">
            <w:pPr>
              <w:jc w:val="both"/>
              <w:rPr>
                <w:rFonts w:ascii="Times New Roman" w:hAnsi="Times New Roman" w:cs="Times New Roman"/>
              </w:rPr>
            </w:pPr>
            <w:r>
              <w:rPr>
                <w:rFonts w:ascii="Times New Roman" w:hAnsi="Times New Roman" w:cs="Times New Roman"/>
              </w:rPr>
              <w:t xml:space="preserve">Stebimas </w:t>
            </w:r>
            <w:r w:rsidRPr="006B29B0">
              <w:rPr>
                <w:rFonts w:ascii="Times New Roman" w:hAnsi="Times New Roman" w:cs="Times New Roman"/>
              </w:rPr>
              <w:t>Socialinės reabilitacijos paslaugas neįgaliesiems bendruomenėje gavusių neįgaliųjų</w:t>
            </w:r>
            <w:r>
              <w:rPr>
                <w:rFonts w:ascii="Times New Roman" w:hAnsi="Times New Roman" w:cs="Times New Roman"/>
              </w:rPr>
              <w:t xml:space="preserve"> </w:t>
            </w:r>
            <w:r w:rsidRPr="006B29B0">
              <w:rPr>
                <w:rFonts w:ascii="Times New Roman" w:hAnsi="Times New Roman" w:cs="Times New Roman"/>
              </w:rPr>
              <w:t>skaiči</w:t>
            </w:r>
            <w:r>
              <w:rPr>
                <w:rFonts w:ascii="Times New Roman" w:hAnsi="Times New Roman" w:cs="Times New Roman"/>
              </w:rPr>
              <w:t>a</w:t>
            </w:r>
            <w:r w:rsidRPr="006B29B0">
              <w:rPr>
                <w:rFonts w:ascii="Times New Roman" w:hAnsi="Times New Roman" w:cs="Times New Roman"/>
              </w:rPr>
              <w:t>us</w:t>
            </w:r>
            <w:r>
              <w:rPr>
                <w:rFonts w:ascii="Times New Roman" w:hAnsi="Times New Roman" w:cs="Times New Roman"/>
              </w:rPr>
              <w:t>, s</w:t>
            </w:r>
            <w:r w:rsidRPr="006B29B0">
              <w:rPr>
                <w:rFonts w:ascii="Times New Roman" w:hAnsi="Times New Roman" w:cs="Times New Roman"/>
              </w:rPr>
              <w:t>tacionariose globos įstaigose gyvenančių neįgalių vaikų skaiči</w:t>
            </w:r>
            <w:r>
              <w:rPr>
                <w:rFonts w:ascii="Times New Roman" w:hAnsi="Times New Roman" w:cs="Times New Roman"/>
              </w:rPr>
              <w:t>a</w:t>
            </w:r>
            <w:r w:rsidRPr="006B29B0">
              <w:rPr>
                <w:rFonts w:ascii="Times New Roman" w:hAnsi="Times New Roman" w:cs="Times New Roman"/>
              </w:rPr>
              <w:t>us</w:t>
            </w:r>
            <w:r w:rsidR="002E2960">
              <w:rPr>
                <w:rFonts w:ascii="Times New Roman" w:hAnsi="Times New Roman" w:cs="Times New Roman"/>
              </w:rPr>
              <w:t>,</w:t>
            </w:r>
            <w:r>
              <w:rPr>
                <w:rFonts w:ascii="Times New Roman" w:hAnsi="Times New Roman" w:cs="Times New Roman"/>
              </w:rPr>
              <w:t xml:space="preserve"> </w:t>
            </w:r>
            <w:r w:rsidR="002E2960">
              <w:rPr>
                <w:rFonts w:ascii="Times New Roman" w:hAnsi="Times New Roman" w:cs="Times New Roman"/>
              </w:rPr>
              <w:t>s</w:t>
            </w:r>
            <w:r w:rsidR="002E2960" w:rsidRPr="002E2960">
              <w:rPr>
                <w:rFonts w:ascii="Times New Roman" w:hAnsi="Times New Roman" w:cs="Times New Roman"/>
              </w:rPr>
              <w:t xml:space="preserve">tacionariose globos įstaigose gyvenančių suaugusių neįgaliųjų skaičius </w:t>
            </w:r>
            <w:r>
              <w:rPr>
                <w:rFonts w:ascii="Times New Roman" w:hAnsi="Times New Roman" w:cs="Times New Roman"/>
              </w:rPr>
              <w:t xml:space="preserve">mažėjimas. Mažėjimas nulemtas stipresne </w:t>
            </w:r>
            <w:r w:rsidRPr="006B29B0">
              <w:rPr>
                <w:rFonts w:ascii="Times New Roman" w:hAnsi="Times New Roman" w:cs="Times New Roman"/>
              </w:rPr>
              <w:t>Socialinės reabilitacijos paslaugas neįgaliesiems bendruomenėje</w:t>
            </w:r>
            <w:r>
              <w:rPr>
                <w:rFonts w:ascii="Times New Roman" w:hAnsi="Times New Roman" w:cs="Times New Roman"/>
              </w:rPr>
              <w:t xml:space="preserve"> projektų kontrol</w:t>
            </w:r>
            <w:r w:rsidR="00434884">
              <w:rPr>
                <w:rFonts w:ascii="Times New Roman" w:hAnsi="Times New Roman" w:cs="Times New Roman"/>
              </w:rPr>
              <w:t>e, juos</w:t>
            </w:r>
            <w:r>
              <w:rPr>
                <w:rFonts w:ascii="Times New Roman" w:hAnsi="Times New Roman" w:cs="Times New Roman"/>
              </w:rPr>
              <w:t xml:space="preserve"> perdavus savivaldybėms, perėjimas prie nuolatinio pobūdžio paslaugų, o vaikų </w:t>
            </w:r>
            <w:r w:rsidR="002E2960">
              <w:rPr>
                <w:rFonts w:ascii="Times New Roman" w:hAnsi="Times New Roman" w:cs="Times New Roman"/>
              </w:rPr>
              <w:t xml:space="preserve">ir suaugusiųjų </w:t>
            </w:r>
            <w:r>
              <w:rPr>
                <w:rFonts w:ascii="Times New Roman" w:hAnsi="Times New Roman" w:cs="Times New Roman"/>
              </w:rPr>
              <w:t xml:space="preserve">globos - vykdoma </w:t>
            </w:r>
            <w:r w:rsidR="002E2960">
              <w:rPr>
                <w:rFonts w:ascii="Times New Roman" w:hAnsi="Times New Roman" w:cs="Times New Roman"/>
              </w:rPr>
              <w:t>institucinės globos pertvarka.</w:t>
            </w:r>
          </w:p>
          <w:p w14:paraId="06F18F99" w14:textId="77777777" w:rsidR="002E2960" w:rsidRDefault="002E2960" w:rsidP="006B54BD">
            <w:pPr>
              <w:jc w:val="both"/>
              <w:rPr>
                <w:rFonts w:ascii="Times New Roman" w:hAnsi="Times New Roman" w:cs="Times New Roman"/>
              </w:rPr>
            </w:pPr>
            <w:r>
              <w:rPr>
                <w:rFonts w:ascii="Times New Roman" w:hAnsi="Times New Roman" w:cs="Times New Roman"/>
              </w:rPr>
              <w:t>Atkreiptinas dėmesys, kad tuo pačiu metu augo socialinių paslaugų gavėjų namuose skaičius</w:t>
            </w:r>
            <w:r w:rsidR="00D9318B">
              <w:rPr>
                <w:rFonts w:ascii="Times New Roman" w:hAnsi="Times New Roman" w:cs="Times New Roman"/>
              </w:rPr>
              <w:t>, d</w:t>
            </w:r>
            <w:r w:rsidR="00D9318B" w:rsidRPr="00D9318B">
              <w:rPr>
                <w:rFonts w:ascii="Times New Roman" w:hAnsi="Times New Roman" w:cs="Times New Roman"/>
              </w:rPr>
              <w:t>ienos centruose paslaugas gavusių darbingo amžiaus neįgaliųjų ir neįgalių vaikų skaičius</w:t>
            </w:r>
            <w:r w:rsidR="00D9318B">
              <w:rPr>
                <w:rFonts w:ascii="Times New Roman" w:hAnsi="Times New Roman" w:cs="Times New Roman"/>
              </w:rPr>
              <w:t xml:space="preserve"> ir savarankiško gyvenimo namuose gyvenusių asmenų skaičius.</w:t>
            </w:r>
          </w:p>
        </w:tc>
      </w:tr>
      <w:tr w:rsidR="00D07AD9" w14:paraId="0A772983" w14:textId="77777777" w:rsidTr="007066CA">
        <w:tc>
          <w:tcPr>
            <w:tcW w:w="6091" w:type="dxa"/>
          </w:tcPr>
          <w:p w14:paraId="3CAFAEC9" w14:textId="77777777" w:rsidR="00D07AD9" w:rsidRDefault="00D07AD9" w:rsidP="009606C3">
            <w:pPr>
              <w:jc w:val="both"/>
              <w:rPr>
                <w:rFonts w:ascii="Times New Roman" w:hAnsi="Times New Roman" w:cs="Times New Roman"/>
              </w:rPr>
            </w:pPr>
            <w:r>
              <w:rPr>
                <w:rFonts w:ascii="Times New Roman" w:hAnsi="Times New Roman" w:cs="Times New Roman"/>
              </w:rPr>
              <w:t>E-02-01</w:t>
            </w:r>
          </w:p>
          <w:p w14:paraId="3AD1245F" w14:textId="18B464AA" w:rsidR="00D07AD9" w:rsidRDefault="0000033A" w:rsidP="00870660">
            <w:pPr>
              <w:jc w:val="center"/>
              <w:rPr>
                <w:rFonts w:ascii="Times New Roman" w:hAnsi="Times New Roman" w:cs="Times New Roman"/>
              </w:rPr>
            </w:pPr>
            <w:r>
              <w:rPr>
                <w:noProof/>
              </w:rPr>
              <w:drawing>
                <wp:inline distT="0" distB="0" distL="0" distR="0" wp14:anchorId="5B869397" wp14:editId="642CC970">
                  <wp:extent cx="3531870" cy="2236470"/>
                  <wp:effectExtent l="0" t="0" r="11430" b="11430"/>
                  <wp:docPr id="3" name="Chart 3">
                    <a:extLst xmlns:a="http://schemas.openxmlformats.org/drawingml/2006/main">
                      <a:ext uri="{FF2B5EF4-FFF2-40B4-BE49-F238E27FC236}">
                        <a16:creationId xmlns:a16="http://schemas.microsoft.com/office/drawing/2014/main" id="{0099A297-9028-4546-A2FA-231A89192C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8192" w:type="dxa"/>
          </w:tcPr>
          <w:p w14:paraId="046D11B4" w14:textId="77777777" w:rsidR="00D07AD9" w:rsidRDefault="00D07AD9" w:rsidP="009606C3">
            <w:pPr>
              <w:jc w:val="both"/>
              <w:rPr>
                <w:rFonts w:ascii="Times New Roman" w:hAnsi="Times New Roman" w:cs="Times New Roman"/>
              </w:rPr>
            </w:pPr>
            <w:r>
              <w:rPr>
                <w:rFonts w:ascii="Times New Roman" w:hAnsi="Times New Roman" w:cs="Times New Roman"/>
              </w:rPr>
              <w:t>Atlikto tyrimo duomenimis 2012 metais pritaikyta apie 15 proc. viešosios paskirties statinių. Pritaikymas reikalingas 34000 statinių ar objektų. Vertinama, kaip ataskaitiniais metais p</w:t>
            </w:r>
            <w:r w:rsidRPr="00B02FCC">
              <w:rPr>
                <w:rFonts w:ascii="Times New Roman" w:hAnsi="Times New Roman" w:cs="Times New Roman"/>
              </w:rPr>
              <w:t>riimt</w:t>
            </w:r>
            <w:r>
              <w:rPr>
                <w:rFonts w:ascii="Times New Roman" w:hAnsi="Times New Roman" w:cs="Times New Roman"/>
              </w:rPr>
              <w:t xml:space="preserve">i eksploatuoti pritaikyti statiniai prisideda prie </w:t>
            </w:r>
            <w:r w:rsidRPr="00D0375A">
              <w:rPr>
                <w:rFonts w:ascii="Times New Roman" w:hAnsi="Times New Roman" w:cs="Times New Roman"/>
              </w:rPr>
              <w:t>neįgaliesiems pritaikytų viešųjų statinių ir objektų, transporto maršrutų gausėjim</w:t>
            </w:r>
            <w:r>
              <w:rPr>
                <w:rFonts w:ascii="Times New Roman" w:hAnsi="Times New Roman" w:cs="Times New Roman"/>
              </w:rPr>
              <w:t>o. Parodo pritaikytų statinių ir objektų procentą.</w:t>
            </w:r>
          </w:p>
          <w:p w14:paraId="674CDAEA" w14:textId="78D423E4" w:rsidR="005061AC" w:rsidRDefault="005061AC" w:rsidP="009606C3">
            <w:pPr>
              <w:jc w:val="both"/>
              <w:rPr>
                <w:rFonts w:ascii="Times New Roman" w:hAnsi="Times New Roman" w:cs="Times New Roman"/>
              </w:rPr>
            </w:pPr>
            <w:r>
              <w:rPr>
                <w:rFonts w:ascii="Times New Roman" w:hAnsi="Times New Roman" w:cs="Times New Roman"/>
              </w:rPr>
              <w:t>Atkreiptinas dėmesys, kad tyrimas buvo atliktas 2012 m. todėl</w:t>
            </w:r>
            <w:r w:rsidR="002E2960">
              <w:rPr>
                <w:rFonts w:ascii="Times New Roman" w:hAnsi="Times New Roman" w:cs="Times New Roman"/>
              </w:rPr>
              <w:t xml:space="preserve"> </w:t>
            </w:r>
            <w:r>
              <w:rPr>
                <w:rFonts w:ascii="Times New Roman" w:hAnsi="Times New Roman" w:cs="Times New Roman"/>
              </w:rPr>
              <w:t>rekomenduotin</w:t>
            </w:r>
            <w:r w:rsidR="00E932EE">
              <w:rPr>
                <w:rFonts w:ascii="Times New Roman" w:hAnsi="Times New Roman" w:cs="Times New Roman"/>
              </w:rPr>
              <w:t>a</w:t>
            </w:r>
            <w:r>
              <w:rPr>
                <w:rFonts w:ascii="Times New Roman" w:hAnsi="Times New Roman" w:cs="Times New Roman"/>
              </w:rPr>
              <w:t xml:space="preserve"> tyrimą pakartoti</w:t>
            </w:r>
            <w:r w:rsidR="006E2CD8">
              <w:rPr>
                <w:rFonts w:ascii="Times New Roman" w:hAnsi="Times New Roman" w:cs="Times New Roman"/>
              </w:rPr>
              <w:t>, arba įdiegti nuoseklia aplinkos prieinamumo stebėsenos sistemą.</w:t>
            </w:r>
          </w:p>
        </w:tc>
      </w:tr>
      <w:tr w:rsidR="00D07AD9" w14:paraId="589DDCE1" w14:textId="77777777" w:rsidTr="007066CA">
        <w:tc>
          <w:tcPr>
            <w:tcW w:w="6091" w:type="dxa"/>
          </w:tcPr>
          <w:p w14:paraId="18804CA7" w14:textId="05AC5056" w:rsidR="00D07AD9" w:rsidRDefault="00D07AD9" w:rsidP="009606C3">
            <w:pPr>
              <w:jc w:val="both"/>
              <w:rPr>
                <w:rFonts w:ascii="Times New Roman" w:hAnsi="Times New Roman" w:cs="Times New Roman"/>
              </w:rPr>
            </w:pPr>
            <w:r>
              <w:rPr>
                <w:rFonts w:ascii="Times New Roman" w:hAnsi="Times New Roman" w:cs="Times New Roman"/>
              </w:rPr>
              <w:lastRenderedPageBreak/>
              <w:t>E-02-02</w:t>
            </w:r>
            <w:r w:rsidR="0000033A">
              <w:rPr>
                <w:noProof/>
              </w:rPr>
              <w:drawing>
                <wp:inline distT="0" distB="0" distL="0" distR="0" wp14:anchorId="3E9293D6" wp14:editId="119DB9C0">
                  <wp:extent cx="3517900" cy="3194050"/>
                  <wp:effectExtent l="0" t="0" r="6350" b="6350"/>
                  <wp:docPr id="4" name="Chart 4">
                    <a:extLst xmlns:a="http://schemas.openxmlformats.org/drawingml/2006/main">
                      <a:ext uri="{FF2B5EF4-FFF2-40B4-BE49-F238E27FC236}">
                        <a16:creationId xmlns:a16="http://schemas.microsoft.com/office/drawing/2014/main" id="{8EE7CE80-44C6-41AF-A61E-05EDFB8AD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094FC7" w14:textId="15AC9153" w:rsidR="00D07AD9" w:rsidRDefault="00D07AD9" w:rsidP="009606C3">
            <w:pPr>
              <w:jc w:val="both"/>
              <w:rPr>
                <w:rFonts w:ascii="Times New Roman" w:hAnsi="Times New Roman" w:cs="Times New Roman"/>
              </w:rPr>
            </w:pPr>
          </w:p>
          <w:p w14:paraId="3946461B" w14:textId="77777777" w:rsidR="00D07AD9" w:rsidRDefault="00D07AD9" w:rsidP="006B54BD">
            <w:pPr>
              <w:jc w:val="center"/>
              <w:rPr>
                <w:rFonts w:ascii="Times New Roman" w:hAnsi="Times New Roman" w:cs="Times New Roman"/>
              </w:rPr>
            </w:pPr>
          </w:p>
        </w:tc>
        <w:tc>
          <w:tcPr>
            <w:tcW w:w="8192" w:type="dxa"/>
          </w:tcPr>
          <w:p w14:paraId="57FC5838" w14:textId="3AC8D1A3" w:rsidR="00D07AD9" w:rsidRPr="006A5FD8" w:rsidRDefault="00D07AD9" w:rsidP="009606C3">
            <w:pPr>
              <w:jc w:val="both"/>
              <w:rPr>
                <w:rFonts w:ascii="Times New Roman" w:hAnsi="Times New Roman" w:cs="Times New Roman"/>
              </w:rPr>
            </w:pPr>
            <w:r w:rsidRPr="006A5FD8">
              <w:rPr>
                <w:rFonts w:ascii="Times New Roman" w:hAnsi="Times New Roman" w:cs="Times New Roman"/>
              </w:rPr>
              <w:t>Vertinama, kokia dalis LRT televizijos laidų transliacijos laiko (titruojant, verčiant gestais</w:t>
            </w:r>
            <w:r w:rsidR="00434884">
              <w:rPr>
                <w:rFonts w:ascii="Times New Roman" w:hAnsi="Times New Roman" w:cs="Times New Roman"/>
              </w:rPr>
              <w:t xml:space="preserve"> ar pritaikant regėjimo negalią turintiems asmenims</w:t>
            </w:r>
            <w:r w:rsidRPr="006A5FD8">
              <w:rPr>
                <w:rFonts w:ascii="Times New Roman" w:hAnsi="Times New Roman" w:cs="Times New Roman"/>
              </w:rPr>
              <w:t>) yra prieinama neįgaliesiems.</w:t>
            </w:r>
          </w:p>
          <w:p w14:paraId="06D13117" w14:textId="3AA70996" w:rsidR="00D747C0" w:rsidRPr="006A5FD8" w:rsidRDefault="000751D7" w:rsidP="009606C3">
            <w:pPr>
              <w:jc w:val="both"/>
              <w:rPr>
                <w:rFonts w:ascii="Times New Roman" w:hAnsi="Times New Roman" w:cs="Times New Roman"/>
              </w:rPr>
            </w:pPr>
            <w:r w:rsidRPr="006A5FD8">
              <w:rPr>
                <w:rFonts w:ascii="Times New Roman" w:hAnsi="Times New Roman" w:cs="Times New Roman"/>
              </w:rPr>
              <w:t xml:space="preserve">2019 m. kovo 21 d. buvo pakeista Nacionalinio radijo ir televizijos įstatymo 5 straipsnio </w:t>
            </w:r>
            <w:r w:rsidR="00434884">
              <w:rPr>
                <w:rFonts w:ascii="Times New Roman" w:hAnsi="Times New Roman" w:cs="Times New Roman"/>
              </w:rPr>
              <w:t>10</w:t>
            </w:r>
            <w:r w:rsidRPr="006A5FD8">
              <w:rPr>
                <w:rFonts w:ascii="Times New Roman" w:hAnsi="Times New Roman" w:cs="Times New Roman"/>
              </w:rPr>
              <w:t xml:space="preserve"> dalis, kurioje buvo įtvirtinta nuostata, kad Lietuvos radijas ir televizija (toliau – LRT) rengia programas asmenims, turintiems klausos ir regos negalią.</w:t>
            </w:r>
          </w:p>
          <w:p w14:paraId="2255038B" w14:textId="082A18E7" w:rsidR="005061AC" w:rsidRPr="006A5FD8" w:rsidRDefault="000751D7" w:rsidP="009606C3">
            <w:pPr>
              <w:jc w:val="both"/>
              <w:rPr>
                <w:rFonts w:ascii="Times New Roman" w:hAnsi="Times New Roman" w:cs="Times New Roman"/>
              </w:rPr>
            </w:pPr>
            <w:r w:rsidRPr="006A5FD8">
              <w:rPr>
                <w:rFonts w:ascii="Times New Roman" w:hAnsi="Times New Roman" w:cs="Times New Roman"/>
              </w:rPr>
              <w:t>20</w:t>
            </w:r>
            <w:r w:rsidR="00E932EE" w:rsidRPr="006A5FD8">
              <w:rPr>
                <w:rFonts w:ascii="Times New Roman" w:hAnsi="Times New Roman" w:cs="Times New Roman"/>
              </w:rPr>
              <w:t>20</w:t>
            </w:r>
            <w:r w:rsidRPr="006A5FD8">
              <w:rPr>
                <w:rFonts w:ascii="Times New Roman" w:hAnsi="Times New Roman" w:cs="Times New Roman"/>
              </w:rPr>
              <w:t xml:space="preserve"> m. titruotų televizijos programų, filmų, rodomų per LRT programas, transliacijų laiko santykis su visu transliacijos laiku buvo 9,67 proc. Į gestų kalbą verstų televizijos informacinių ir kitų programų transliacijų laikas 7</w:t>
            </w:r>
            <w:r w:rsidR="00E932EE" w:rsidRPr="006A5FD8">
              <w:rPr>
                <w:rFonts w:ascii="Times New Roman" w:hAnsi="Times New Roman" w:cs="Times New Roman"/>
              </w:rPr>
              <w:t>86</w:t>
            </w:r>
            <w:r w:rsidRPr="006A5FD8">
              <w:rPr>
                <w:rFonts w:ascii="Times New Roman" w:hAnsi="Times New Roman" w:cs="Times New Roman"/>
              </w:rPr>
              <w:t xml:space="preserve"> val. </w:t>
            </w:r>
          </w:p>
          <w:p w14:paraId="14F973DB" w14:textId="77777777" w:rsidR="006E2CD8" w:rsidRDefault="005061AC" w:rsidP="006E2CD8">
            <w:pPr>
              <w:jc w:val="both"/>
              <w:rPr>
                <w:rFonts w:ascii="Times New Roman" w:hAnsi="Times New Roman" w:cs="Times New Roman"/>
              </w:rPr>
            </w:pPr>
            <w:r w:rsidRPr="006A5FD8">
              <w:rPr>
                <w:rFonts w:ascii="Times New Roman" w:hAnsi="Times New Roman" w:cs="Times New Roman"/>
              </w:rPr>
              <w:t xml:space="preserve">Nacionalinio radijo ir televizijos įstatymo 5 straipsnio </w:t>
            </w:r>
            <w:r w:rsidR="00434884">
              <w:rPr>
                <w:rFonts w:ascii="Times New Roman" w:hAnsi="Times New Roman" w:cs="Times New Roman"/>
              </w:rPr>
              <w:t>10</w:t>
            </w:r>
            <w:r w:rsidRPr="006A5FD8">
              <w:rPr>
                <w:rFonts w:ascii="Times New Roman" w:hAnsi="Times New Roman" w:cs="Times New Roman"/>
              </w:rPr>
              <w:t xml:space="preserve"> dalis numato, kad LRT turi programas pritaikyti asmenims, turintiems klausos ir regos negalią, bei nurodoma, kokią dalį transliacijų laiko jos turi sudaryti per mėnesį: 1) programos su lietuviškais subtitrais – ne mažiau kaip 50 procentų viso mėnesio transliavimo laiko; 2) programos, verčiamos į lietuvių gestų kalbą, – ne mažiau kaip 20 procentų viso mėnesio transliavimo laiko; 3) programos, pritaikytos regos negalią turintiems asmenims, – ne mažiau kaip 10 procentų viso mėnesio transliavimo laiko. Taip pat pabrėžiama, kad tokia transliavimo laiko apimtis yra minimali.</w:t>
            </w:r>
            <w:r w:rsidR="00434884">
              <w:rPr>
                <w:rFonts w:ascii="Times New Roman" w:hAnsi="Times New Roman" w:cs="Times New Roman"/>
              </w:rPr>
              <w:t xml:space="preserve"> Kadangi </w:t>
            </w:r>
            <w:r w:rsidR="00434884" w:rsidRPr="00434884">
              <w:rPr>
                <w:rFonts w:ascii="Times New Roman" w:hAnsi="Times New Roman" w:cs="Times New Roman"/>
              </w:rPr>
              <w:t>Nacionalinio radijo ir televizijos įstatymo 5 straipsnio 9 dali</w:t>
            </w:r>
            <w:r w:rsidR="00434884">
              <w:rPr>
                <w:rFonts w:ascii="Times New Roman" w:hAnsi="Times New Roman" w:cs="Times New Roman"/>
              </w:rPr>
              <w:t xml:space="preserve">es įgyvendinimas iš karto po pakeitimo priėmimo taptų per didele finansine našta Nacionaliniam transliuotojui, Lietuvos Respublikos Seimo </w:t>
            </w:r>
            <w:r w:rsidR="006E2CD8">
              <w:rPr>
                <w:rFonts w:ascii="Times New Roman" w:hAnsi="Times New Roman" w:cs="Times New Roman"/>
              </w:rPr>
              <w:t xml:space="preserve">2019 03 21 priimto </w:t>
            </w:r>
            <w:r w:rsidR="00434884" w:rsidRPr="00434884">
              <w:rPr>
                <w:rFonts w:ascii="Times New Roman" w:hAnsi="Times New Roman" w:cs="Times New Roman"/>
              </w:rPr>
              <w:t>Nacionalinio radijo ir televizijos įstatymo</w:t>
            </w:r>
            <w:r w:rsidR="00434884">
              <w:rPr>
                <w:rFonts w:ascii="Times New Roman" w:hAnsi="Times New Roman" w:cs="Times New Roman"/>
              </w:rPr>
              <w:t xml:space="preserve"> </w:t>
            </w:r>
            <w:r w:rsidR="00434884" w:rsidRPr="00434884">
              <w:rPr>
                <w:rFonts w:ascii="Times New Roman" w:hAnsi="Times New Roman" w:cs="Times New Roman"/>
              </w:rPr>
              <w:t>Nr. I-1571 5 straipsnio pakeitimo įstatym</w:t>
            </w:r>
            <w:r w:rsidR="006E2CD8">
              <w:rPr>
                <w:rFonts w:ascii="Times New Roman" w:hAnsi="Times New Roman" w:cs="Times New Roman"/>
              </w:rPr>
              <w:t xml:space="preserve">o Nr. </w:t>
            </w:r>
            <w:r w:rsidR="00434884">
              <w:rPr>
                <w:rFonts w:ascii="Times New Roman" w:hAnsi="Times New Roman" w:cs="Times New Roman"/>
              </w:rPr>
              <w:t xml:space="preserve"> </w:t>
            </w:r>
            <w:r w:rsidR="006E2CD8" w:rsidRPr="006E2CD8">
              <w:rPr>
                <w:rFonts w:ascii="Times New Roman" w:hAnsi="Times New Roman" w:cs="Times New Roman"/>
              </w:rPr>
              <w:t>XIII-2008</w:t>
            </w:r>
            <w:r w:rsidR="006E2CD8">
              <w:rPr>
                <w:rFonts w:ascii="Times New Roman" w:hAnsi="Times New Roman" w:cs="Times New Roman"/>
              </w:rPr>
              <w:t xml:space="preserve"> 2 straipsnyje numatyta, jog pritaikymas vykdomas nuosekliai: </w:t>
            </w:r>
          </w:p>
          <w:p w14:paraId="5E28FA67" w14:textId="609A27E5" w:rsidR="006E2CD8" w:rsidRPr="006E2CD8" w:rsidRDefault="006E2CD8" w:rsidP="006E2CD8">
            <w:pPr>
              <w:jc w:val="both"/>
              <w:rPr>
                <w:rFonts w:ascii="Times New Roman" w:hAnsi="Times New Roman" w:cs="Times New Roman"/>
              </w:rPr>
            </w:pPr>
            <w:r w:rsidRPr="006E2CD8">
              <w:rPr>
                <w:rFonts w:ascii="Times New Roman" w:hAnsi="Times New Roman" w:cs="Times New Roman"/>
              </w:rPr>
              <w:t>1) programų su lietuviškais subtitrais transliavimo apimtis per mėnesį, palyginti su LRT televizijos programų su lietuviškais subtitrais transliavimo apimtimi per mėnesį 2019 m., kiekvienais metais didinama ne mažiau kaip 5 procentais viso transliavimo laiko;</w:t>
            </w:r>
          </w:p>
          <w:p w14:paraId="473EA1FD" w14:textId="77777777" w:rsidR="006E2CD8" w:rsidRPr="006E2CD8" w:rsidRDefault="006E2CD8" w:rsidP="006E2CD8">
            <w:pPr>
              <w:jc w:val="both"/>
              <w:rPr>
                <w:rFonts w:ascii="Times New Roman" w:hAnsi="Times New Roman" w:cs="Times New Roman"/>
              </w:rPr>
            </w:pPr>
            <w:r w:rsidRPr="006E2CD8">
              <w:rPr>
                <w:rFonts w:ascii="Times New Roman" w:hAnsi="Times New Roman" w:cs="Times New Roman"/>
              </w:rPr>
              <w:t>2) programų, verčiamų į gestų kalbą, transliavimo apimtis per mėnesį, palyginti su LRT televizijos programų, verčiamų į gestų kalbą, transliavimo apimtimi per mėnesį 2019 m., kiekvienais metais didinama ne mažiau kaip vienu procentu viso transliavimo laiko;</w:t>
            </w:r>
          </w:p>
          <w:p w14:paraId="3275AA36" w14:textId="2C2C73FA" w:rsidR="005061AC" w:rsidRPr="006A5FD8" w:rsidRDefault="006E2CD8" w:rsidP="006E2CD8">
            <w:pPr>
              <w:jc w:val="both"/>
              <w:rPr>
                <w:rFonts w:ascii="Times New Roman" w:hAnsi="Times New Roman" w:cs="Times New Roman"/>
              </w:rPr>
            </w:pPr>
            <w:r w:rsidRPr="006E2CD8">
              <w:rPr>
                <w:rFonts w:ascii="Times New Roman" w:hAnsi="Times New Roman" w:cs="Times New Roman"/>
              </w:rPr>
              <w:t>3) programų, pritaikytų regos negalią turintiems asmenims, transliavimo apimtis per mėnesį, palyginti su LRT televizijos programų, pritaikytų regos negalią turintiems asmenims, transliavimo apimtimi per mėnesį 2019 m., kiekvienais metais ilginama ne mažiau kaip vienu procentu viso transliavimo laiko.</w:t>
            </w:r>
          </w:p>
          <w:p w14:paraId="60953EFA" w14:textId="47F56D58" w:rsidR="000751D7" w:rsidRPr="006A5FD8" w:rsidRDefault="006E2CD8" w:rsidP="009606C3">
            <w:pPr>
              <w:jc w:val="both"/>
              <w:rPr>
                <w:rFonts w:ascii="Times New Roman" w:hAnsi="Times New Roman" w:cs="Times New Roman"/>
              </w:rPr>
            </w:pPr>
            <w:r>
              <w:rPr>
                <w:rFonts w:ascii="Times New Roman" w:hAnsi="Times New Roman" w:cs="Times New Roman"/>
              </w:rPr>
              <w:t xml:space="preserve">Atsižvelgiant į tai, stebimas </w:t>
            </w:r>
            <w:r w:rsidRPr="006E2CD8">
              <w:rPr>
                <w:rFonts w:ascii="Times New Roman" w:hAnsi="Times New Roman" w:cs="Times New Roman"/>
              </w:rPr>
              <w:t>LRT televizijos laidų transliacijos laiko</w:t>
            </w:r>
            <w:r>
              <w:rPr>
                <w:rFonts w:ascii="Times New Roman" w:hAnsi="Times New Roman" w:cs="Times New Roman"/>
              </w:rPr>
              <w:t>, pritaikyto neįgaliesiems, didėjimas.</w:t>
            </w:r>
          </w:p>
        </w:tc>
      </w:tr>
      <w:tr w:rsidR="00D07AD9" w14:paraId="2B2D9B92" w14:textId="77777777" w:rsidTr="007066CA">
        <w:tc>
          <w:tcPr>
            <w:tcW w:w="6091" w:type="dxa"/>
          </w:tcPr>
          <w:p w14:paraId="3B2F7855" w14:textId="44B02FD3" w:rsidR="00D07AD9" w:rsidRDefault="00276789" w:rsidP="006B54BD">
            <w:pPr>
              <w:jc w:val="both"/>
              <w:rPr>
                <w:noProof/>
              </w:rPr>
            </w:pPr>
            <w:r>
              <w:rPr>
                <w:rFonts w:ascii="Times New Roman" w:hAnsi="Times New Roman" w:cs="Times New Roman"/>
              </w:rPr>
              <w:lastRenderedPageBreak/>
              <w:t>E-02-03</w:t>
            </w:r>
            <w:r w:rsidR="0000033A">
              <w:rPr>
                <w:noProof/>
              </w:rPr>
              <w:drawing>
                <wp:inline distT="0" distB="0" distL="0" distR="0" wp14:anchorId="36277C95" wp14:editId="5C348066">
                  <wp:extent cx="3695700" cy="2673350"/>
                  <wp:effectExtent l="0" t="0" r="0" b="12700"/>
                  <wp:docPr id="5" name="Chart 5">
                    <a:extLst xmlns:a="http://schemas.openxmlformats.org/drawingml/2006/main">
                      <a:ext uri="{FF2B5EF4-FFF2-40B4-BE49-F238E27FC236}">
                        <a16:creationId xmlns:a16="http://schemas.microsoft.com/office/drawing/2014/main" id="{3BB5FAE6-C2F7-4120-9A26-33277A1853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28317E" w14:textId="195F9BA0" w:rsidR="00CE5A75" w:rsidRDefault="00CE5A75" w:rsidP="00C62CCA">
            <w:pPr>
              <w:rPr>
                <w:rFonts w:ascii="Times New Roman" w:hAnsi="Times New Roman" w:cs="Times New Roman"/>
              </w:rPr>
            </w:pPr>
          </w:p>
          <w:p w14:paraId="4BFF75BB" w14:textId="77777777" w:rsidR="00D07AD9" w:rsidRDefault="00D07AD9" w:rsidP="006B54BD">
            <w:pPr>
              <w:jc w:val="center"/>
              <w:rPr>
                <w:rFonts w:ascii="Times New Roman" w:hAnsi="Times New Roman" w:cs="Times New Roman"/>
              </w:rPr>
            </w:pPr>
          </w:p>
        </w:tc>
        <w:tc>
          <w:tcPr>
            <w:tcW w:w="8192" w:type="dxa"/>
          </w:tcPr>
          <w:p w14:paraId="2254614D" w14:textId="4FFBFF6F" w:rsidR="00D07AD9" w:rsidRPr="00723A47" w:rsidRDefault="00D07AD9" w:rsidP="009606C3">
            <w:pPr>
              <w:jc w:val="both"/>
              <w:rPr>
                <w:rFonts w:ascii="Times New Roman" w:hAnsi="Times New Roman" w:cs="Times New Roman"/>
              </w:rPr>
            </w:pPr>
            <w:r w:rsidRPr="00723A47">
              <w:rPr>
                <w:rFonts w:ascii="Times New Roman" w:hAnsi="Times New Roman" w:cs="Times New Roman"/>
              </w:rPr>
              <w:t>Vertinama, kokia dalis neįgaliųjų, lyginant su bendru neįgaliųjų skaičiumi, ataskaitiniais metais buvo aprūpinti jų savarankiškumui būtin</w:t>
            </w:r>
            <w:r w:rsidR="009068ED">
              <w:rPr>
                <w:rFonts w:ascii="Times New Roman" w:hAnsi="Times New Roman" w:cs="Times New Roman"/>
              </w:rPr>
              <w:t>omis techninės pagalbos priemonėmis</w:t>
            </w:r>
            <w:r w:rsidRPr="00723A47">
              <w:rPr>
                <w:rFonts w:ascii="Times New Roman" w:hAnsi="Times New Roman" w:cs="Times New Roman"/>
              </w:rPr>
              <w:t xml:space="preserve"> arba </w:t>
            </w:r>
            <w:r w:rsidR="009068ED">
              <w:rPr>
                <w:rFonts w:ascii="Times New Roman" w:hAnsi="Times New Roman" w:cs="Times New Roman"/>
              </w:rPr>
              <w:t xml:space="preserve">įgijo </w:t>
            </w:r>
            <w:r w:rsidRPr="00723A47">
              <w:rPr>
                <w:rFonts w:ascii="Times New Roman" w:hAnsi="Times New Roman" w:cs="Times New Roman"/>
              </w:rPr>
              <w:t>savarankiškumą dalyvaudami Žmonių su fizine negalia mobilumo ir savarankiško gyvenimo įgūdžių ugdymo projektuose</w:t>
            </w:r>
            <w:r w:rsidR="00F3102A" w:rsidRPr="00723A47">
              <w:rPr>
                <w:rFonts w:ascii="Times New Roman" w:hAnsi="Times New Roman" w:cs="Times New Roman"/>
              </w:rPr>
              <w:t>.</w:t>
            </w:r>
          </w:p>
          <w:p w14:paraId="180D0E0B" w14:textId="05D39BCB" w:rsidR="006E2CD8" w:rsidRPr="00723A47" w:rsidRDefault="00F3102A" w:rsidP="009606C3">
            <w:pPr>
              <w:jc w:val="both"/>
              <w:rPr>
                <w:rFonts w:ascii="Times New Roman" w:hAnsi="Times New Roman" w:cs="Times New Roman"/>
              </w:rPr>
            </w:pPr>
            <w:r w:rsidRPr="00723A47">
              <w:rPr>
                <w:rFonts w:ascii="Times New Roman" w:hAnsi="Times New Roman" w:cs="Times New Roman"/>
              </w:rPr>
              <w:t>20</w:t>
            </w:r>
            <w:r w:rsidR="000E7423" w:rsidRPr="00723A47">
              <w:rPr>
                <w:rFonts w:ascii="Times New Roman" w:hAnsi="Times New Roman" w:cs="Times New Roman"/>
              </w:rPr>
              <w:t>20</w:t>
            </w:r>
            <w:r w:rsidRPr="00723A47">
              <w:rPr>
                <w:rFonts w:ascii="Times New Roman" w:hAnsi="Times New Roman" w:cs="Times New Roman"/>
              </w:rPr>
              <w:t xml:space="preserve"> m. asmenų, kurie buvo aprūpinti jų savarankiškumui būtin</w:t>
            </w:r>
            <w:r w:rsidR="009068ED">
              <w:rPr>
                <w:rFonts w:ascii="Times New Roman" w:hAnsi="Times New Roman" w:cs="Times New Roman"/>
              </w:rPr>
              <w:t>omis</w:t>
            </w:r>
            <w:r w:rsidRPr="00723A47">
              <w:rPr>
                <w:rFonts w:ascii="Times New Roman" w:hAnsi="Times New Roman" w:cs="Times New Roman"/>
              </w:rPr>
              <w:t xml:space="preserve"> </w:t>
            </w:r>
            <w:r w:rsidR="009068ED">
              <w:rPr>
                <w:rFonts w:ascii="Times New Roman" w:hAnsi="Times New Roman" w:cs="Times New Roman"/>
              </w:rPr>
              <w:t>techninės pagalbos priemonėmis</w:t>
            </w:r>
            <w:r w:rsidRPr="00723A47">
              <w:rPr>
                <w:rFonts w:ascii="Times New Roman" w:hAnsi="Times New Roman" w:cs="Times New Roman"/>
              </w:rPr>
              <w:t xml:space="preserve"> arba </w:t>
            </w:r>
            <w:r w:rsidR="009068ED">
              <w:rPr>
                <w:rFonts w:ascii="Times New Roman" w:hAnsi="Times New Roman" w:cs="Times New Roman"/>
              </w:rPr>
              <w:t>įgijo</w:t>
            </w:r>
            <w:r w:rsidR="009068ED" w:rsidRPr="00723A47">
              <w:rPr>
                <w:rFonts w:ascii="Times New Roman" w:hAnsi="Times New Roman" w:cs="Times New Roman"/>
              </w:rPr>
              <w:t xml:space="preserve"> </w:t>
            </w:r>
            <w:r w:rsidRPr="00723A47">
              <w:rPr>
                <w:rFonts w:ascii="Times New Roman" w:hAnsi="Times New Roman" w:cs="Times New Roman"/>
              </w:rPr>
              <w:t xml:space="preserve">savarankiškumą dalyvaudami Žmonių su fizine negalia mobilumo ir savarankiško gyvenimo įgūdžių ugdymo projektuose absoliutus skaičius </w:t>
            </w:r>
            <w:r w:rsidR="000E7423" w:rsidRPr="00723A47">
              <w:rPr>
                <w:rFonts w:ascii="Times New Roman" w:hAnsi="Times New Roman" w:cs="Times New Roman"/>
              </w:rPr>
              <w:t>su</w:t>
            </w:r>
            <w:r w:rsidRPr="00723A47">
              <w:rPr>
                <w:rFonts w:ascii="Times New Roman" w:hAnsi="Times New Roman" w:cs="Times New Roman"/>
              </w:rPr>
              <w:t xml:space="preserve">mažėjo </w:t>
            </w:r>
            <w:r w:rsidR="000E7423" w:rsidRPr="00723A47">
              <w:rPr>
                <w:rFonts w:ascii="Times New Roman" w:hAnsi="Times New Roman" w:cs="Times New Roman"/>
              </w:rPr>
              <w:t xml:space="preserve">1162, t.y., </w:t>
            </w:r>
            <w:r w:rsidRPr="00723A47">
              <w:rPr>
                <w:rFonts w:ascii="Times New Roman" w:hAnsi="Times New Roman" w:cs="Times New Roman"/>
              </w:rPr>
              <w:t>nuo 399</w:t>
            </w:r>
            <w:r w:rsidR="000E7423" w:rsidRPr="00723A47">
              <w:rPr>
                <w:rFonts w:ascii="Times New Roman" w:hAnsi="Times New Roman" w:cs="Times New Roman"/>
              </w:rPr>
              <w:t>71</w:t>
            </w:r>
            <w:r w:rsidRPr="00723A47">
              <w:rPr>
                <w:rFonts w:ascii="Times New Roman" w:hAnsi="Times New Roman" w:cs="Times New Roman"/>
              </w:rPr>
              <w:t xml:space="preserve"> asmenų 20</w:t>
            </w:r>
            <w:r w:rsidR="000E7423" w:rsidRPr="00723A47">
              <w:rPr>
                <w:rFonts w:ascii="Times New Roman" w:hAnsi="Times New Roman" w:cs="Times New Roman"/>
              </w:rPr>
              <w:t>19</w:t>
            </w:r>
            <w:r w:rsidRPr="00723A47">
              <w:rPr>
                <w:rFonts w:ascii="Times New Roman" w:hAnsi="Times New Roman" w:cs="Times New Roman"/>
              </w:rPr>
              <w:t xml:space="preserve"> m. iki 3</w:t>
            </w:r>
            <w:r w:rsidR="000E7423" w:rsidRPr="00723A47">
              <w:rPr>
                <w:rFonts w:ascii="Times New Roman" w:hAnsi="Times New Roman" w:cs="Times New Roman"/>
              </w:rPr>
              <w:t>8809</w:t>
            </w:r>
            <w:r w:rsidRPr="00723A47">
              <w:rPr>
                <w:rFonts w:ascii="Times New Roman" w:hAnsi="Times New Roman" w:cs="Times New Roman"/>
              </w:rPr>
              <w:t xml:space="preserve"> asmens 20</w:t>
            </w:r>
            <w:r w:rsidR="000E7423" w:rsidRPr="00723A47">
              <w:rPr>
                <w:rFonts w:ascii="Times New Roman" w:hAnsi="Times New Roman" w:cs="Times New Roman"/>
              </w:rPr>
              <w:t>20</w:t>
            </w:r>
            <w:r w:rsidRPr="00723A47">
              <w:rPr>
                <w:rFonts w:ascii="Times New Roman" w:hAnsi="Times New Roman" w:cs="Times New Roman"/>
              </w:rPr>
              <w:t xml:space="preserve"> m.</w:t>
            </w:r>
            <w:r w:rsidR="00091341" w:rsidRPr="00723A47">
              <w:rPr>
                <w:rFonts w:ascii="Times New Roman" w:hAnsi="Times New Roman" w:cs="Times New Roman"/>
              </w:rPr>
              <w:t xml:space="preserve"> </w:t>
            </w:r>
            <w:r w:rsidR="006E2CD8" w:rsidRPr="00723A47">
              <w:rPr>
                <w:rFonts w:ascii="Times New Roman" w:hAnsi="Times New Roman" w:cs="Times New Roman"/>
              </w:rPr>
              <w:t>Galimybes dalyvauti Žmonių su fizine negalia mobilumo ir savarankiško gyvenimo įgūdžių ugdymo projektuose apsunkino COVID-19 ligos pandeminė situacija šalyje.</w:t>
            </w:r>
          </w:p>
          <w:p w14:paraId="1A257CB3" w14:textId="10A46229" w:rsidR="00F3102A" w:rsidRPr="00723A47" w:rsidRDefault="00091341" w:rsidP="009606C3">
            <w:pPr>
              <w:jc w:val="both"/>
              <w:rPr>
                <w:rFonts w:ascii="Times New Roman" w:hAnsi="Times New Roman" w:cs="Times New Roman"/>
              </w:rPr>
            </w:pPr>
            <w:r w:rsidRPr="00723A47">
              <w:rPr>
                <w:rFonts w:ascii="Times New Roman" w:hAnsi="Times New Roman" w:cs="Times New Roman"/>
              </w:rPr>
              <w:t>B</w:t>
            </w:r>
            <w:r w:rsidR="00F3102A" w:rsidRPr="00723A47">
              <w:rPr>
                <w:rFonts w:ascii="Times New Roman" w:hAnsi="Times New Roman" w:cs="Times New Roman"/>
              </w:rPr>
              <w:t>endr</w:t>
            </w:r>
            <w:r w:rsidRPr="00723A47">
              <w:rPr>
                <w:rFonts w:ascii="Times New Roman" w:hAnsi="Times New Roman" w:cs="Times New Roman"/>
              </w:rPr>
              <w:t>as</w:t>
            </w:r>
            <w:r w:rsidR="00F3102A" w:rsidRPr="00723A47">
              <w:rPr>
                <w:rFonts w:ascii="Times New Roman" w:hAnsi="Times New Roman" w:cs="Times New Roman"/>
              </w:rPr>
              <w:t xml:space="preserve"> asmenų su negalia skaičiaus </w:t>
            </w:r>
            <w:r w:rsidR="00D747C0" w:rsidRPr="00723A47">
              <w:rPr>
                <w:rFonts w:ascii="Times New Roman" w:hAnsi="Times New Roman" w:cs="Times New Roman"/>
              </w:rPr>
              <w:t>su</w:t>
            </w:r>
            <w:r w:rsidR="00F3102A" w:rsidRPr="00723A47">
              <w:rPr>
                <w:rFonts w:ascii="Times New Roman" w:hAnsi="Times New Roman" w:cs="Times New Roman"/>
              </w:rPr>
              <w:t>mažėjimas lėmė</w:t>
            </w:r>
            <w:r w:rsidR="004A2934" w:rsidRPr="00723A47">
              <w:rPr>
                <w:rFonts w:ascii="Times New Roman" w:hAnsi="Times New Roman" w:cs="Times New Roman"/>
              </w:rPr>
              <w:t>, jog</w:t>
            </w:r>
            <w:r w:rsidR="00F3102A" w:rsidRPr="00723A47">
              <w:rPr>
                <w:rFonts w:ascii="Times New Roman" w:hAnsi="Times New Roman" w:cs="Times New Roman"/>
              </w:rPr>
              <w:t xml:space="preserve"> asmenų su negalia, </w:t>
            </w:r>
            <w:r w:rsidR="00D747C0" w:rsidRPr="00723A47">
              <w:rPr>
                <w:rFonts w:ascii="Times New Roman" w:hAnsi="Times New Roman" w:cs="Times New Roman"/>
              </w:rPr>
              <w:t>kurie buvo aprūpinti jų savarankiškumui būtin</w:t>
            </w:r>
            <w:r w:rsidR="009068ED">
              <w:rPr>
                <w:rFonts w:ascii="Times New Roman" w:hAnsi="Times New Roman" w:cs="Times New Roman"/>
              </w:rPr>
              <w:t>omis</w:t>
            </w:r>
            <w:r w:rsidR="00D747C0" w:rsidRPr="00723A47">
              <w:rPr>
                <w:rFonts w:ascii="Times New Roman" w:hAnsi="Times New Roman" w:cs="Times New Roman"/>
              </w:rPr>
              <w:t xml:space="preserve"> </w:t>
            </w:r>
            <w:r w:rsidR="009068ED">
              <w:rPr>
                <w:rFonts w:ascii="Times New Roman" w:hAnsi="Times New Roman" w:cs="Times New Roman"/>
              </w:rPr>
              <w:t>techninės pagalbos priemonėmis</w:t>
            </w:r>
            <w:r w:rsidR="00D747C0" w:rsidRPr="00723A47">
              <w:rPr>
                <w:rFonts w:ascii="Times New Roman" w:hAnsi="Times New Roman" w:cs="Times New Roman"/>
              </w:rPr>
              <w:t xml:space="preserve"> arba </w:t>
            </w:r>
            <w:r w:rsidR="009068ED">
              <w:rPr>
                <w:rFonts w:ascii="Times New Roman" w:hAnsi="Times New Roman" w:cs="Times New Roman"/>
              </w:rPr>
              <w:t>įgijo</w:t>
            </w:r>
            <w:r w:rsidR="009068ED" w:rsidRPr="00723A47">
              <w:rPr>
                <w:rFonts w:ascii="Times New Roman" w:hAnsi="Times New Roman" w:cs="Times New Roman"/>
              </w:rPr>
              <w:t xml:space="preserve"> </w:t>
            </w:r>
            <w:r w:rsidR="00D747C0" w:rsidRPr="00723A47">
              <w:rPr>
                <w:rFonts w:ascii="Times New Roman" w:hAnsi="Times New Roman" w:cs="Times New Roman"/>
              </w:rPr>
              <w:t xml:space="preserve">savarankiškumą dalyvaudami Žmonių su fizine negalia mobilumo ir savarankiško gyvenimo įgūdžių ugdymo projektuose </w:t>
            </w:r>
            <w:r w:rsidR="004A2934" w:rsidRPr="00723A47">
              <w:rPr>
                <w:rFonts w:ascii="Times New Roman" w:hAnsi="Times New Roman" w:cs="Times New Roman"/>
              </w:rPr>
              <w:t>santykis su bendru neįgaliųjų skaičiumi liko nepakitęs.</w:t>
            </w:r>
          </w:p>
        </w:tc>
      </w:tr>
      <w:tr w:rsidR="00D07AD9" w14:paraId="58CBC825" w14:textId="77777777" w:rsidTr="007066CA">
        <w:tc>
          <w:tcPr>
            <w:tcW w:w="6091" w:type="dxa"/>
          </w:tcPr>
          <w:p w14:paraId="0FB600E4" w14:textId="3F2F380B" w:rsidR="00CE5A75" w:rsidRDefault="00CE5A75" w:rsidP="00936901">
            <w:pPr>
              <w:jc w:val="both"/>
              <w:rPr>
                <w:rFonts w:ascii="Times New Roman" w:hAnsi="Times New Roman" w:cs="Times New Roman"/>
              </w:rPr>
            </w:pPr>
            <w:r>
              <w:rPr>
                <w:rFonts w:ascii="Times New Roman" w:hAnsi="Times New Roman" w:cs="Times New Roman"/>
              </w:rPr>
              <w:t>E-03-01</w:t>
            </w:r>
          </w:p>
          <w:p w14:paraId="577895F8" w14:textId="77777777" w:rsidR="00D07AD9" w:rsidRDefault="00C62CCA" w:rsidP="00936901">
            <w:pPr>
              <w:jc w:val="center"/>
              <w:rPr>
                <w:rFonts w:ascii="Times New Roman" w:hAnsi="Times New Roman" w:cs="Times New Roman"/>
              </w:rPr>
            </w:pPr>
            <w:r>
              <w:rPr>
                <w:noProof/>
              </w:rPr>
              <w:drawing>
                <wp:inline distT="0" distB="0" distL="0" distR="0" wp14:anchorId="2B144E67" wp14:editId="256B7D8C">
                  <wp:extent cx="3632200" cy="2425700"/>
                  <wp:effectExtent l="0" t="0" r="6350" b="12700"/>
                  <wp:docPr id="6" name="Chart 6">
                    <a:extLst xmlns:a="http://schemas.openxmlformats.org/drawingml/2006/main">
                      <a:ext uri="{FF2B5EF4-FFF2-40B4-BE49-F238E27FC236}">
                        <a16:creationId xmlns:a16="http://schemas.microsoft.com/office/drawing/2014/main" id="{02A29433-6A8F-4968-B387-B55095C694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304BD1" w14:textId="77777777" w:rsidR="007066CA" w:rsidRDefault="007066CA" w:rsidP="00936901">
            <w:pPr>
              <w:jc w:val="center"/>
              <w:rPr>
                <w:rFonts w:ascii="Times New Roman" w:hAnsi="Times New Roman" w:cs="Times New Roman"/>
              </w:rPr>
            </w:pPr>
          </w:p>
          <w:p w14:paraId="544CDDEE" w14:textId="481E3DA9" w:rsidR="007066CA" w:rsidRDefault="007066CA" w:rsidP="00936901">
            <w:pPr>
              <w:jc w:val="center"/>
              <w:rPr>
                <w:rFonts w:ascii="Times New Roman" w:hAnsi="Times New Roman" w:cs="Times New Roman"/>
              </w:rPr>
            </w:pPr>
          </w:p>
        </w:tc>
        <w:tc>
          <w:tcPr>
            <w:tcW w:w="8192" w:type="dxa"/>
          </w:tcPr>
          <w:p w14:paraId="23EAC8A8" w14:textId="77777777" w:rsidR="00D07AD9" w:rsidRPr="00723A47" w:rsidRDefault="00D07AD9" w:rsidP="009606C3">
            <w:pPr>
              <w:jc w:val="both"/>
              <w:rPr>
                <w:rFonts w:ascii="Times New Roman" w:hAnsi="Times New Roman" w:cs="Times New Roman"/>
              </w:rPr>
            </w:pPr>
            <w:r w:rsidRPr="00723A47">
              <w:rPr>
                <w:rFonts w:ascii="Times New Roman" w:hAnsi="Times New Roman" w:cs="Times New Roman"/>
              </w:rPr>
              <w:t>Vertinama, kokia dalis darbingo amžiaus neįgaliųjų dirbo ataskaitiniais metais</w:t>
            </w:r>
            <w:r w:rsidR="002F099C" w:rsidRPr="00723A47">
              <w:rPr>
                <w:rFonts w:ascii="Times New Roman" w:hAnsi="Times New Roman" w:cs="Times New Roman"/>
              </w:rPr>
              <w:t>.</w:t>
            </w:r>
          </w:p>
          <w:p w14:paraId="01209CAB" w14:textId="416056C7" w:rsidR="002F099C" w:rsidRPr="00723A47" w:rsidRDefault="002F099C" w:rsidP="009606C3">
            <w:pPr>
              <w:jc w:val="both"/>
              <w:rPr>
                <w:rFonts w:ascii="Times New Roman" w:hAnsi="Times New Roman" w:cs="Times New Roman"/>
              </w:rPr>
            </w:pPr>
            <w:r w:rsidRPr="00723A47">
              <w:rPr>
                <w:rFonts w:ascii="Times New Roman" w:hAnsi="Times New Roman" w:cs="Times New Roman"/>
              </w:rPr>
              <w:t>201</w:t>
            </w:r>
            <w:r w:rsidR="00091341" w:rsidRPr="00723A47">
              <w:rPr>
                <w:rFonts w:ascii="Times New Roman" w:hAnsi="Times New Roman" w:cs="Times New Roman"/>
              </w:rPr>
              <w:t>9</w:t>
            </w:r>
            <w:r w:rsidRPr="00723A47">
              <w:rPr>
                <w:rFonts w:ascii="Times New Roman" w:hAnsi="Times New Roman" w:cs="Times New Roman"/>
              </w:rPr>
              <w:t xml:space="preserve"> m. dirbo </w:t>
            </w:r>
            <w:r w:rsidR="00091341" w:rsidRPr="00723A47">
              <w:rPr>
                <w:rFonts w:ascii="Times New Roman" w:hAnsi="Times New Roman" w:cs="Times New Roman"/>
              </w:rPr>
              <w:t>46448</w:t>
            </w:r>
            <w:r w:rsidRPr="00723A47">
              <w:rPr>
                <w:rFonts w:ascii="Times New Roman" w:hAnsi="Times New Roman" w:cs="Times New Roman"/>
              </w:rPr>
              <w:t xml:space="preserve"> darbingo amžiaus asmenų su negalia. 20</w:t>
            </w:r>
            <w:r w:rsidR="00091341" w:rsidRPr="00723A47">
              <w:rPr>
                <w:rFonts w:ascii="Times New Roman" w:hAnsi="Times New Roman" w:cs="Times New Roman"/>
              </w:rPr>
              <w:t>20 m.</w:t>
            </w:r>
            <w:r w:rsidRPr="00723A47">
              <w:rPr>
                <w:rFonts w:ascii="Times New Roman" w:hAnsi="Times New Roman" w:cs="Times New Roman"/>
              </w:rPr>
              <w:t xml:space="preserve"> </w:t>
            </w:r>
            <w:r w:rsidR="00B43F30" w:rsidRPr="00723A47">
              <w:rPr>
                <w:rFonts w:ascii="Times New Roman" w:hAnsi="Times New Roman" w:cs="Times New Roman"/>
              </w:rPr>
              <w:t>–</w:t>
            </w:r>
            <w:r w:rsidRPr="00723A47">
              <w:rPr>
                <w:rFonts w:ascii="Times New Roman" w:hAnsi="Times New Roman" w:cs="Times New Roman"/>
              </w:rPr>
              <w:t xml:space="preserve"> </w:t>
            </w:r>
            <w:r w:rsidR="00091341" w:rsidRPr="00723A47">
              <w:rPr>
                <w:rFonts w:ascii="Times New Roman" w:hAnsi="Times New Roman" w:cs="Times New Roman"/>
              </w:rPr>
              <w:t>43817</w:t>
            </w:r>
            <w:r w:rsidR="00B43F30" w:rsidRPr="00723A47">
              <w:rPr>
                <w:rFonts w:ascii="Times New Roman" w:hAnsi="Times New Roman" w:cs="Times New Roman"/>
              </w:rPr>
              <w:t xml:space="preserve">, kai tuo tarpu bendras darbingo amžiaus asmenų su negalia skaičius kito – </w:t>
            </w:r>
            <w:r w:rsidR="00091341" w:rsidRPr="00723A47">
              <w:rPr>
                <w:rFonts w:ascii="Times New Roman" w:hAnsi="Times New Roman" w:cs="Times New Roman"/>
              </w:rPr>
              <w:t>mažėjo</w:t>
            </w:r>
            <w:r w:rsidR="00B43F30" w:rsidRPr="00723A47">
              <w:rPr>
                <w:rFonts w:ascii="Times New Roman" w:hAnsi="Times New Roman" w:cs="Times New Roman"/>
              </w:rPr>
              <w:t xml:space="preserve"> nuo </w:t>
            </w:r>
            <w:r w:rsidR="00091341" w:rsidRPr="00723A47">
              <w:rPr>
                <w:rFonts w:ascii="Times New Roman" w:hAnsi="Times New Roman" w:cs="Times New Roman"/>
              </w:rPr>
              <w:t>158867</w:t>
            </w:r>
            <w:r w:rsidR="00B43F30" w:rsidRPr="00723A47">
              <w:rPr>
                <w:rFonts w:ascii="Times New Roman" w:hAnsi="Times New Roman" w:cs="Times New Roman"/>
              </w:rPr>
              <w:t xml:space="preserve"> asmenų 201</w:t>
            </w:r>
            <w:r w:rsidR="00091341" w:rsidRPr="00723A47">
              <w:rPr>
                <w:rFonts w:ascii="Times New Roman" w:hAnsi="Times New Roman" w:cs="Times New Roman"/>
              </w:rPr>
              <w:t>9</w:t>
            </w:r>
            <w:r w:rsidR="00B43F30" w:rsidRPr="00723A47">
              <w:rPr>
                <w:rFonts w:ascii="Times New Roman" w:hAnsi="Times New Roman" w:cs="Times New Roman"/>
              </w:rPr>
              <w:t xml:space="preserve"> m. iki 15</w:t>
            </w:r>
            <w:r w:rsidR="00091341" w:rsidRPr="00723A47">
              <w:rPr>
                <w:rFonts w:ascii="Times New Roman" w:hAnsi="Times New Roman" w:cs="Times New Roman"/>
              </w:rPr>
              <w:t>3641</w:t>
            </w:r>
            <w:r w:rsidR="00B43F30" w:rsidRPr="00723A47">
              <w:rPr>
                <w:rFonts w:ascii="Times New Roman" w:hAnsi="Times New Roman" w:cs="Times New Roman"/>
              </w:rPr>
              <w:t xml:space="preserve"> asmenų 20</w:t>
            </w:r>
            <w:r w:rsidR="00091341" w:rsidRPr="00723A47">
              <w:rPr>
                <w:rFonts w:ascii="Times New Roman" w:hAnsi="Times New Roman" w:cs="Times New Roman"/>
              </w:rPr>
              <w:t>20</w:t>
            </w:r>
            <w:r w:rsidR="00B43F30" w:rsidRPr="00723A47">
              <w:rPr>
                <w:rFonts w:ascii="Times New Roman" w:hAnsi="Times New Roman" w:cs="Times New Roman"/>
              </w:rPr>
              <w:t xml:space="preserve"> m.</w:t>
            </w:r>
          </w:p>
          <w:p w14:paraId="5B26F21C" w14:textId="16D97F73" w:rsidR="00B43F30" w:rsidRPr="00723A47" w:rsidRDefault="00B43F30" w:rsidP="009606C3">
            <w:pPr>
              <w:jc w:val="both"/>
              <w:rPr>
                <w:rFonts w:ascii="Times New Roman" w:hAnsi="Times New Roman" w:cs="Times New Roman"/>
              </w:rPr>
            </w:pPr>
            <w:r w:rsidRPr="00723A47">
              <w:rPr>
                <w:rFonts w:ascii="Times New Roman" w:hAnsi="Times New Roman" w:cs="Times New Roman"/>
              </w:rPr>
              <w:t>Santykinį dirbančiųjų skaičiaus mažėjimą galėjo lemti tai, kad dalis asmenų sulaukė senatvės pensijos amžiaus</w:t>
            </w:r>
            <w:r w:rsidR="006A5FD8" w:rsidRPr="00723A47">
              <w:rPr>
                <w:rFonts w:ascii="Times New Roman" w:hAnsi="Times New Roman" w:cs="Times New Roman"/>
              </w:rPr>
              <w:t xml:space="preserve"> ir neliko darbo rinkoje</w:t>
            </w:r>
            <w:r w:rsidR="004A2934" w:rsidRPr="00723A47">
              <w:rPr>
                <w:rFonts w:ascii="Times New Roman" w:hAnsi="Times New Roman" w:cs="Times New Roman"/>
              </w:rPr>
              <w:t>, taip pat dėl COVID-19 ligos pandeminės situacijos šalyje paskelbto karantino suvaržymų sąlygotas bendr</w:t>
            </w:r>
            <w:r w:rsidR="007066CA" w:rsidRPr="00723A47">
              <w:rPr>
                <w:rFonts w:ascii="Times New Roman" w:hAnsi="Times New Roman" w:cs="Times New Roman"/>
              </w:rPr>
              <w:t>a</w:t>
            </w:r>
            <w:r w:rsidR="004A2934" w:rsidRPr="00723A47">
              <w:rPr>
                <w:rFonts w:ascii="Times New Roman" w:hAnsi="Times New Roman" w:cs="Times New Roman"/>
              </w:rPr>
              <w:t>s nedarbo lygio augimas šalyje.</w:t>
            </w:r>
          </w:p>
          <w:p w14:paraId="0022F98A" w14:textId="27EDE078" w:rsidR="00F3102A" w:rsidRPr="00723A47" w:rsidRDefault="00F3102A" w:rsidP="009606C3">
            <w:pPr>
              <w:jc w:val="both"/>
              <w:rPr>
                <w:rFonts w:ascii="Times New Roman" w:hAnsi="Times New Roman" w:cs="Times New Roman"/>
              </w:rPr>
            </w:pPr>
          </w:p>
        </w:tc>
      </w:tr>
      <w:tr w:rsidR="00D07AD9" w14:paraId="3DD62833" w14:textId="77777777" w:rsidTr="007066CA">
        <w:tc>
          <w:tcPr>
            <w:tcW w:w="6091" w:type="dxa"/>
          </w:tcPr>
          <w:p w14:paraId="1CCA294F" w14:textId="77777777" w:rsidR="00D07AD9" w:rsidRDefault="00CE5A75" w:rsidP="00CE5A75">
            <w:pPr>
              <w:rPr>
                <w:rFonts w:ascii="Times New Roman" w:hAnsi="Times New Roman" w:cs="Times New Roman"/>
              </w:rPr>
            </w:pPr>
            <w:r>
              <w:rPr>
                <w:rFonts w:ascii="Times New Roman" w:hAnsi="Times New Roman" w:cs="Times New Roman"/>
              </w:rPr>
              <w:lastRenderedPageBreak/>
              <w:t>E-03-02</w:t>
            </w:r>
          </w:p>
          <w:p w14:paraId="129F72D9" w14:textId="53A33CF0" w:rsidR="00CE5A75" w:rsidRDefault="00C62CCA" w:rsidP="00FA2823">
            <w:pPr>
              <w:jc w:val="center"/>
              <w:rPr>
                <w:rFonts w:ascii="Times New Roman" w:hAnsi="Times New Roman" w:cs="Times New Roman"/>
              </w:rPr>
            </w:pPr>
            <w:r>
              <w:rPr>
                <w:noProof/>
              </w:rPr>
              <w:drawing>
                <wp:inline distT="0" distB="0" distL="0" distR="0" wp14:anchorId="21C2A2D8" wp14:editId="485C9D8B">
                  <wp:extent cx="3531870" cy="2166620"/>
                  <wp:effectExtent l="0" t="0" r="11430" b="5080"/>
                  <wp:docPr id="7" name="Chart 7">
                    <a:extLst xmlns:a="http://schemas.openxmlformats.org/drawingml/2006/main">
                      <a:ext uri="{FF2B5EF4-FFF2-40B4-BE49-F238E27FC236}">
                        <a16:creationId xmlns:a16="http://schemas.microsoft.com/office/drawing/2014/main" id="{EC1DCD86-9250-454C-8832-0884B21B32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65AC9D" w14:textId="2F9BCC51" w:rsidR="0029736E" w:rsidRDefault="0029736E" w:rsidP="00FA2823">
            <w:pPr>
              <w:jc w:val="center"/>
              <w:rPr>
                <w:rFonts w:ascii="Times New Roman" w:hAnsi="Times New Roman" w:cs="Times New Roman"/>
              </w:rPr>
            </w:pPr>
          </w:p>
          <w:p w14:paraId="0A05BCB0" w14:textId="77777777" w:rsidR="00D07AD9" w:rsidRDefault="00D07AD9" w:rsidP="00FA2823">
            <w:pPr>
              <w:jc w:val="center"/>
              <w:rPr>
                <w:rFonts w:ascii="Times New Roman" w:hAnsi="Times New Roman" w:cs="Times New Roman"/>
              </w:rPr>
            </w:pPr>
          </w:p>
        </w:tc>
        <w:tc>
          <w:tcPr>
            <w:tcW w:w="8192" w:type="dxa"/>
          </w:tcPr>
          <w:p w14:paraId="192454DA" w14:textId="77777777" w:rsidR="00D07AD9" w:rsidRPr="00723A47" w:rsidRDefault="00D07AD9" w:rsidP="009606C3">
            <w:pPr>
              <w:jc w:val="both"/>
              <w:rPr>
                <w:rFonts w:ascii="Times New Roman" w:hAnsi="Times New Roman" w:cs="Times New Roman"/>
              </w:rPr>
            </w:pPr>
            <w:r w:rsidRPr="00723A47">
              <w:rPr>
                <w:rFonts w:ascii="Times New Roman" w:hAnsi="Times New Roman" w:cs="Times New Roman"/>
              </w:rPr>
              <w:t>Vertinama, kokia dalis visų neįgaliųjų dalyvavo kultūros veiklose įgyvendinant Socialinės reabilitacijos paslaugų neįgaliesiems bendruomenėje bei Neįgaliųjų asociacijų veiklos rėmimo projektus</w:t>
            </w:r>
            <w:r w:rsidR="007912EA" w:rsidRPr="00723A47">
              <w:rPr>
                <w:rFonts w:ascii="Times New Roman" w:hAnsi="Times New Roman" w:cs="Times New Roman"/>
              </w:rPr>
              <w:t>.</w:t>
            </w:r>
          </w:p>
          <w:p w14:paraId="20955FAB" w14:textId="77777777" w:rsidR="00546F64" w:rsidRPr="00723A47" w:rsidRDefault="007912EA" w:rsidP="00546F64">
            <w:pPr>
              <w:jc w:val="both"/>
              <w:rPr>
                <w:rFonts w:ascii="Times New Roman" w:hAnsi="Times New Roman" w:cs="Times New Roman"/>
              </w:rPr>
            </w:pPr>
            <w:r w:rsidRPr="00723A47">
              <w:rPr>
                <w:rFonts w:ascii="Times New Roman" w:hAnsi="Times New Roman" w:cs="Times New Roman"/>
              </w:rPr>
              <w:t>20</w:t>
            </w:r>
            <w:r w:rsidR="00091341" w:rsidRPr="00723A47">
              <w:rPr>
                <w:rFonts w:ascii="Times New Roman" w:hAnsi="Times New Roman" w:cs="Times New Roman"/>
              </w:rPr>
              <w:t>20</w:t>
            </w:r>
            <w:r w:rsidRPr="00723A47">
              <w:rPr>
                <w:rFonts w:ascii="Times New Roman" w:hAnsi="Times New Roman" w:cs="Times New Roman"/>
              </w:rPr>
              <w:t xml:space="preserve"> m. </w:t>
            </w:r>
            <w:r w:rsidR="00091341" w:rsidRPr="00723A47">
              <w:rPr>
                <w:rFonts w:ascii="Times New Roman" w:hAnsi="Times New Roman" w:cs="Times New Roman"/>
              </w:rPr>
              <w:t>5454</w:t>
            </w:r>
            <w:r w:rsidRPr="00723A47">
              <w:rPr>
                <w:rFonts w:ascii="Times New Roman" w:hAnsi="Times New Roman" w:cs="Times New Roman"/>
              </w:rPr>
              <w:t xml:space="preserve"> asmenys su negalia dalyvavo kultūros veiklose įgyvendinant Socialinės reabilitacijos paslaugų neįgaliesiems bendruomenėje bei Neįgaliųjų asociacijų veiklos rėmimo projektus (201</w:t>
            </w:r>
            <w:r w:rsidR="00091341" w:rsidRPr="00723A47">
              <w:rPr>
                <w:rFonts w:ascii="Times New Roman" w:hAnsi="Times New Roman" w:cs="Times New Roman"/>
              </w:rPr>
              <w:t>9</w:t>
            </w:r>
            <w:r w:rsidRPr="00723A47">
              <w:rPr>
                <w:rFonts w:ascii="Times New Roman" w:hAnsi="Times New Roman" w:cs="Times New Roman"/>
              </w:rPr>
              <w:t xml:space="preserve"> m. – </w:t>
            </w:r>
            <w:r w:rsidR="00091341" w:rsidRPr="00723A47">
              <w:rPr>
                <w:rFonts w:ascii="Times New Roman" w:hAnsi="Times New Roman" w:cs="Times New Roman"/>
              </w:rPr>
              <w:t>11168</w:t>
            </w:r>
            <w:r w:rsidRPr="00723A47">
              <w:rPr>
                <w:rFonts w:ascii="Times New Roman" w:hAnsi="Times New Roman" w:cs="Times New Roman"/>
              </w:rPr>
              <w:t>).</w:t>
            </w:r>
            <w:r w:rsidR="00091341" w:rsidRPr="00723A47">
              <w:rPr>
                <w:rFonts w:ascii="Times New Roman" w:hAnsi="Times New Roman" w:cs="Times New Roman"/>
              </w:rPr>
              <w:t xml:space="preserve"> </w:t>
            </w:r>
          </w:p>
          <w:p w14:paraId="65F4BB71" w14:textId="77777777" w:rsidR="00546F64" w:rsidRPr="00723A47" w:rsidRDefault="00546F64" w:rsidP="00546F64">
            <w:pPr>
              <w:jc w:val="both"/>
              <w:rPr>
                <w:rFonts w:ascii="Times New Roman" w:hAnsi="Times New Roman" w:cs="Times New Roman"/>
              </w:rPr>
            </w:pPr>
          </w:p>
          <w:p w14:paraId="0A8B7001" w14:textId="51293FAC" w:rsidR="00546F64" w:rsidRPr="00723A47" w:rsidRDefault="007912EA" w:rsidP="00546F64">
            <w:pPr>
              <w:jc w:val="both"/>
              <w:rPr>
                <w:rFonts w:ascii="Times New Roman" w:hAnsi="Times New Roman" w:cs="Times New Roman"/>
              </w:rPr>
            </w:pPr>
            <w:r w:rsidRPr="00723A47">
              <w:rPr>
                <w:rFonts w:ascii="Times New Roman" w:hAnsi="Times New Roman" w:cs="Times New Roman"/>
              </w:rPr>
              <w:t xml:space="preserve">Departamento nuomone, </w:t>
            </w:r>
            <w:r w:rsidR="00546F64" w:rsidRPr="00723A47">
              <w:rPr>
                <w:rFonts w:ascii="Times New Roman" w:hAnsi="Times New Roman" w:cs="Times New Roman"/>
              </w:rPr>
              <w:t xml:space="preserve">neįgaliųjų užimtumo kultūros veiklų mažėjimui didžiausią įtaką turėjo dėl COVID-19 pandemijos susiklosčiusios sąlygos, dėl kurių buvo sustabdyta didelė dalis kultūros veiklų, nes buvo uždarytos renginių vietos ir erdvės, atšaukti renginiai, sumažėjo kultūros srities specialistų judumas ir kultūros kūrinių sklaida, todėl asmenims, turintiems negalią, buvo apribotos galimybės dalyvauti tam tikrose kultūros veiklose. </w:t>
            </w:r>
          </w:p>
          <w:p w14:paraId="35133B49" w14:textId="26FE0D78" w:rsidR="00546F64" w:rsidRPr="00723A47" w:rsidRDefault="00546F64" w:rsidP="00546F64">
            <w:pPr>
              <w:jc w:val="both"/>
              <w:rPr>
                <w:rFonts w:ascii="Times New Roman" w:hAnsi="Times New Roman" w:cs="Times New Roman"/>
              </w:rPr>
            </w:pPr>
          </w:p>
        </w:tc>
      </w:tr>
      <w:tr w:rsidR="00D07AD9" w14:paraId="35DBE8C0" w14:textId="77777777" w:rsidTr="007066CA">
        <w:tc>
          <w:tcPr>
            <w:tcW w:w="6091" w:type="dxa"/>
          </w:tcPr>
          <w:p w14:paraId="5BD10DB5" w14:textId="216822A5" w:rsidR="00CE5A75" w:rsidRDefault="00CE5A75" w:rsidP="00CE5A75">
            <w:pPr>
              <w:rPr>
                <w:rFonts w:ascii="Times New Roman" w:hAnsi="Times New Roman" w:cs="Times New Roman"/>
              </w:rPr>
            </w:pPr>
            <w:r>
              <w:rPr>
                <w:rFonts w:ascii="Times New Roman" w:hAnsi="Times New Roman" w:cs="Times New Roman"/>
              </w:rPr>
              <w:t>E-03-03</w:t>
            </w:r>
            <w:r w:rsidR="00C62CCA">
              <w:rPr>
                <w:noProof/>
              </w:rPr>
              <w:drawing>
                <wp:inline distT="0" distB="0" distL="0" distR="0" wp14:anchorId="3305D8BA" wp14:editId="762BD6D4">
                  <wp:extent cx="3531870" cy="2127885"/>
                  <wp:effectExtent l="0" t="0" r="11430" b="5715"/>
                  <wp:docPr id="9" name="Chart 9">
                    <a:extLst xmlns:a="http://schemas.openxmlformats.org/drawingml/2006/main">
                      <a:ext uri="{FF2B5EF4-FFF2-40B4-BE49-F238E27FC236}">
                        <a16:creationId xmlns:a16="http://schemas.microsoft.com/office/drawing/2014/main" id="{5BAE0CF2-FE61-4B91-BF02-5F0501B4A7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07C925" w14:textId="2414CAD2" w:rsidR="00CE5A75" w:rsidRDefault="00CE5A75" w:rsidP="00CE5A75">
            <w:pPr>
              <w:jc w:val="center"/>
              <w:rPr>
                <w:rFonts w:ascii="Times New Roman" w:hAnsi="Times New Roman" w:cs="Times New Roman"/>
              </w:rPr>
            </w:pPr>
          </w:p>
          <w:p w14:paraId="0BBC7BF8" w14:textId="77777777" w:rsidR="00D07AD9" w:rsidRDefault="00D07AD9" w:rsidP="009606C3">
            <w:pPr>
              <w:jc w:val="both"/>
              <w:rPr>
                <w:rFonts w:ascii="Times New Roman" w:hAnsi="Times New Roman" w:cs="Times New Roman"/>
              </w:rPr>
            </w:pPr>
          </w:p>
        </w:tc>
        <w:tc>
          <w:tcPr>
            <w:tcW w:w="8192" w:type="dxa"/>
          </w:tcPr>
          <w:p w14:paraId="58EC7F62" w14:textId="65B3D5A3" w:rsidR="005F3D5F" w:rsidRPr="00723A47" w:rsidRDefault="00D07AD9" w:rsidP="009606C3">
            <w:pPr>
              <w:jc w:val="both"/>
              <w:rPr>
                <w:rFonts w:ascii="Times New Roman" w:hAnsi="Times New Roman" w:cs="Times New Roman"/>
              </w:rPr>
            </w:pPr>
            <w:r w:rsidRPr="00723A47">
              <w:rPr>
                <w:rFonts w:ascii="Times New Roman" w:hAnsi="Times New Roman" w:cs="Times New Roman"/>
              </w:rPr>
              <w:t>Vertinama, kokia dalis visų neįgaliųjų dalyvavo sporto veiklose</w:t>
            </w:r>
            <w:r w:rsidR="00546F64" w:rsidRPr="00723A47">
              <w:rPr>
                <w:rFonts w:ascii="Times New Roman" w:hAnsi="Times New Roman" w:cs="Times New Roman"/>
              </w:rPr>
              <w:t>.</w:t>
            </w:r>
            <w:r w:rsidR="005F3D5F" w:rsidRPr="00723A47">
              <w:rPr>
                <w:rFonts w:ascii="Times New Roman" w:hAnsi="Times New Roman" w:cs="Times New Roman"/>
              </w:rPr>
              <w:t xml:space="preserve"> </w:t>
            </w:r>
          </w:p>
          <w:p w14:paraId="645DBD99" w14:textId="65BCFB94" w:rsidR="005F3D5F" w:rsidRPr="00723A47" w:rsidRDefault="005F3D5F" w:rsidP="009606C3">
            <w:pPr>
              <w:jc w:val="both"/>
              <w:rPr>
                <w:rFonts w:ascii="Times New Roman" w:hAnsi="Times New Roman" w:cs="Times New Roman"/>
              </w:rPr>
            </w:pPr>
            <w:r w:rsidRPr="00723A47">
              <w:rPr>
                <w:rFonts w:ascii="Times New Roman" w:hAnsi="Times New Roman" w:cs="Times New Roman"/>
              </w:rPr>
              <w:t>20</w:t>
            </w:r>
            <w:r w:rsidR="00E50328" w:rsidRPr="00723A47">
              <w:rPr>
                <w:rFonts w:ascii="Times New Roman" w:hAnsi="Times New Roman" w:cs="Times New Roman"/>
              </w:rPr>
              <w:t>20</w:t>
            </w:r>
            <w:r w:rsidRPr="00723A47">
              <w:rPr>
                <w:rFonts w:ascii="Times New Roman" w:hAnsi="Times New Roman" w:cs="Times New Roman"/>
              </w:rPr>
              <w:t xml:space="preserve"> m. asmenų, dalyvavusių sporto veikloje absoliutus skaičius mažėjo nuo 62</w:t>
            </w:r>
            <w:r w:rsidR="00546F64" w:rsidRPr="00723A47">
              <w:rPr>
                <w:rFonts w:ascii="Times New Roman" w:hAnsi="Times New Roman" w:cs="Times New Roman"/>
              </w:rPr>
              <w:t>53</w:t>
            </w:r>
            <w:r w:rsidRPr="00723A47">
              <w:rPr>
                <w:rFonts w:ascii="Times New Roman" w:hAnsi="Times New Roman" w:cs="Times New Roman"/>
              </w:rPr>
              <w:t xml:space="preserve"> 20</w:t>
            </w:r>
            <w:r w:rsidR="00E50328" w:rsidRPr="00723A47">
              <w:rPr>
                <w:rFonts w:ascii="Times New Roman" w:hAnsi="Times New Roman" w:cs="Times New Roman"/>
              </w:rPr>
              <w:t>19</w:t>
            </w:r>
            <w:r w:rsidRPr="00723A47">
              <w:rPr>
                <w:rFonts w:ascii="Times New Roman" w:hAnsi="Times New Roman" w:cs="Times New Roman"/>
              </w:rPr>
              <w:t xml:space="preserve"> m. iki </w:t>
            </w:r>
            <w:r w:rsidR="00660E40" w:rsidRPr="00723A47">
              <w:rPr>
                <w:rFonts w:ascii="Times New Roman" w:hAnsi="Times New Roman" w:cs="Times New Roman"/>
              </w:rPr>
              <w:t>3182</w:t>
            </w:r>
            <w:r w:rsidRPr="00723A47">
              <w:rPr>
                <w:rFonts w:ascii="Times New Roman" w:hAnsi="Times New Roman" w:cs="Times New Roman"/>
              </w:rPr>
              <w:t xml:space="preserve"> 20</w:t>
            </w:r>
            <w:r w:rsidR="00660E40" w:rsidRPr="00723A47">
              <w:rPr>
                <w:rFonts w:ascii="Times New Roman" w:hAnsi="Times New Roman" w:cs="Times New Roman"/>
              </w:rPr>
              <w:t>20</w:t>
            </w:r>
            <w:r w:rsidRPr="00723A47">
              <w:rPr>
                <w:rFonts w:ascii="Times New Roman" w:hAnsi="Times New Roman" w:cs="Times New Roman"/>
              </w:rPr>
              <w:t xml:space="preserve"> m. </w:t>
            </w:r>
          </w:p>
          <w:p w14:paraId="03DFA57A" w14:textId="539C7BEB" w:rsidR="00660E40" w:rsidRPr="00723A47" w:rsidRDefault="00660E40" w:rsidP="009606C3">
            <w:pPr>
              <w:jc w:val="both"/>
              <w:rPr>
                <w:rFonts w:ascii="Times New Roman" w:hAnsi="Times New Roman" w:cs="Times New Roman"/>
              </w:rPr>
            </w:pPr>
            <w:r w:rsidRPr="00723A47">
              <w:rPr>
                <w:rFonts w:ascii="Times New Roman" w:hAnsi="Times New Roman" w:cs="Times New Roman"/>
              </w:rPr>
              <w:t>Akivaizdų neįgaliųjų užimtum</w:t>
            </w:r>
            <w:r w:rsidR="00E50328" w:rsidRPr="00723A47">
              <w:rPr>
                <w:rFonts w:ascii="Times New Roman" w:hAnsi="Times New Roman" w:cs="Times New Roman"/>
              </w:rPr>
              <w:t>o</w:t>
            </w:r>
            <w:r w:rsidRPr="00723A47">
              <w:rPr>
                <w:rFonts w:ascii="Times New Roman" w:hAnsi="Times New Roman" w:cs="Times New Roman"/>
              </w:rPr>
              <w:t xml:space="preserve"> sporto veikloje mažėjimą lėmė </w:t>
            </w:r>
            <w:r w:rsidR="00E50328" w:rsidRPr="00723A47">
              <w:rPr>
                <w:rFonts w:ascii="Times New Roman" w:hAnsi="Times New Roman" w:cs="Times New Roman"/>
              </w:rPr>
              <w:t>su COVID-19 pandemija susijos priežastys, dėl kurių buvo atšauktos įvairios sportinės veiklos ir apribotos galimybės asmenims su negalia dalyvauti aktyvioje veikloje.</w:t>
            </w:r>
          </w:p>
        </w:tc>
      </w:tr>
      <w:tr w:rsidR="00D07AD9" w14:paraId="34F1E0EB" w14:textId="77777777" w:rsidTr="00723A47">
        <w:trPr>
          <w:trHeight w:val="2430"/>
        </w:trPr>
        <w:tc>
          <w:tcPr>
            <w:tcW w:w="6091" w:type="dxa"/>
          </w:tcPr>
          <w:p w14:paraId="507CE6C4" w14:textId="77777777" w:rsidR="00D07AD9" w:rsidRDefault="00675AF7" w:rsidP="009606C3">
            <w:pPr>
              <w:jc w:val="both"/>
              <w:rPr>
                <w:rFonts w:ascii="Times New Roman" w:hAnsi="Times New Roman" w:cs="Times New Roman"/>
              </w:rPr>
            </w:pPr>
            <w:r>
              <w:rPr>
                <w:rFonts w:ascii="Times New Roman" w:hAnsi="Times New Roman" w:cs="Times New Roman"/>
              </w:rPr>
              <w:lastRenderedPageBreak/>
              <w:t>E-04-01</w:t>
            </w:r>
          </w:p>
          <w:p w14:paraId="62ADBEF3" w14:textId="68B07208" w:rsidR="00D07AD9" w:rsidRDefault="00E50328" w:rsidP="00FA2823">
            <w:pPr>
              <w:jc w:val="center"/>
              <w:rPr>
                <w:rFonts w:ascii="Times New Roman" w:hAnsi="Times New Roman" w:cs="Times New Roman"/>
              </w:rPr>
            </w:pPr>
            <w:r>
              <w:rPr>
                <w:noProof/>
              </w:rPr>
              <w:drawing>
                <wp:inline distT="0" distB="0" distL="0" distR="0" wp14:anchorId="54139C95" wp14:editId="3A61C3D9">
                  <wp:extent cx="3638550" cy="1822450"/>
                  <wp:effectExtent l="0" t="0" r="0" b="6350"/>
                  <wp:docPr id="12" name="Chart 12">
                    <a:extLst xmlns:a="http://schemas.openxmlformats.org/drawingml/2006/main">
                      <a:ext uri="{FF2B5EF4-FFF2-40B4-BE49-F238E27FC236}">
                        <a16:creationId xmlns:a16="http://schemas.microsoft.com/office/drawing/2014/main" id="{2BEFDC11-4F2D-4BC2-A4CD-1F8612480D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8192" w:type="dxa"/>
          </w:tcPr>
          <w:p w14:paraId="3E8350A3" w14:textId="18FF6626" w:rsidR="00D07AD9" w:rsidRPr="00723A47" w:rsidRDefault="00D07AD9" w:rsidP="009606C3">
            <w:pPr>
              <w:jc w:val="both"/>
              <w:rPr>
                <w:rFonts w:ascii="Times New Roman" w:eastAsia="Times New Roman" w:hAnsi="Times New Roman" w:cs="Times New Roman"/>
                <w:lang w:eastAsia="lt-LT"/>
              </w:rPr>
            </w:pPr>
            <w:r w:rsidRPr="00723A47">
              <w:rPr>
                <w:rFonts w:ascii="Times New Roman" w:eastAsia="Times New Roman" w:hAnsi="Times New Roman" w:cs="Times New Roman"/>
                <w:lang w:eastAsia="lt-LT"/>
              </w:rPr>
              <w:t>Vertinama skalėje nuo 1 iki 10: 1</w:t>
            </w:r>
            <w:r w:rsidR="002C0831" w:rsidRPr="00723A47">
              <w:rPr>
                <w:rFonts w:ascii="Times New Roman" w:eastAsia="Times New Roman" w:hAnsi="Times New Roman" w:cs="Times New Roman"/>
                <w:lang w:eastAsia="lt-LT"/>
              </w:rPr>
              <w:t xml:space="preserve"> – </w:t>
            </w:r>
            <w:r w:rsidRPr="00723A47">
              <w:rPr>
                <w:rFonts w:ascii="Times New Roman" w:eastAsia="Times New Roman" w:hAnsi="Times New Roman" w:cs="Times New Roman"/>
                <w:lang w:eastAsia="lt-LT"/>
              </w:rPr>
              <w:t>mažiausia diskriminacija, 10 – didžiausia diskriminacija</w:t>
            </w:r>
            <w:r w:rsidR="00E50328" w:rsidRPr="00723A47">
              <w:rPr>
                <w:rFonts w:ascii="Times New Roman" w:eastAsia="Times New Roman" w:hAnsi="Times New Roman" w:cs="Times New Roman"/>
                <w:lang w:eastAsia="lt-LT"/>
              </w:rPr>
              <w:t>.</w:t>
            </w:r>
          </w:p>
          <w:p w14:paraId="18FE7887" w14:textId="77777777" w:rsidR="002C0831" w:rsidRPr="00723A47" w:rsidRDefault="002C0831" w:rsidP="009606C3">
            <w:pPr>
              <w:jc w:val="both"/>
              <w:rPr>
                <w:rFonts w:ascii="Times New Roman" w:eastAsia="Times New Roman" w:hAnsi="Times New Roman" w:cs="Times New Roman"/>
                <w:lang w:eastAsia="lt-LT"/>
              </w:rPr>
            </w:pPr>
          </w:p>
          <w:p w14:paraId="6C3DA8D4" w14:textId="35332024" w:rsidR="00E50328" w:rsidRPr="00723A47" w:rsidRDefault="00E50328" w:rsidP="009606C3">
            <w:pPr>
              <w:jc w:val="both"/>
              <w:rPr>
                <w:rFonts w:ascii="Times New Roman" w:eastAsia="Times New Roman" w:hAnsi="Times New Roman" w:cs="Times New Roman"/>
                <w:lang w:eastAsia="lt-LT"/>
              </w:rPr>
            </w:pPr>
            <w:r w:rsidRPr="00723A47">
              <w:rPr>
                <w:rFonts w:ascii="Times New Roman" w:eastAsia="Times New Roman" w:hAnsi="Times New Roman" w:cs="Times New Roman"/>
                <w:lang w:eastAsia="lt-LT"/>
              </w:rPr>
              <w:t>2019 m. duomenys nebuvo</w:t>
            </w:r>
            <w:r w:rsidR="002C0831" w:rsidRPr="00723A47">
              <w:rPr>
                <w:rFonts w:ascii="Times New Roman" w:eastAsia="Times New Roman" w:hAnsi="Times New Roman" w:cs="Times New Roman"/>
                <w:lang w:eastAsia="lt-LT"/>
              </w:rPr>
              <w:t xml:space="preserve"> pateikti, tačiau lyginant 2020 m. su 2018 m. pastebimas nežymus  pokytis, susijęs su neįgaliųjų diskriminacija – 2018 m. 5,21, 2020 m. – 5,57.</w:t>
            </w:r>
          </w:p>
          <w:p w14:paraId="0564CFDC" w14:textId="191EA53F" w:rsidR="004A2934" w:rsidRPr="004A2934" w:rsidRDefault="004A2934" w:rsidP="009606C3">
            <w:pPr>
              <w:jc w:val="both"/>
              <w:rPr>
                <w:rFonts w:ascii="Times New Roman" w:eastAsia="Times New Roman" w:hAnsi="Times New Roman" w:cs="Times New Roman"/>
                <w:lang w:eastAsia="lt-LT"/>
              </w:rPr>
            </w:pPr>
            <w:r w:rsidRPr="004A2934">
              <w:rPr>
                <w:rFonts w:ascii="Times New Roman" w:eastAsia="Times New Roman" w:hAnsi="Times New Roman" w:cs="Times New Roman"/>
                <w:lang w:eastAsia="lt-LT"/>
              </w:rPr>
              <w:t>Manytina, tai sąlygojo didesnis visuomenės išprusimas, kuomet visuomenė kritiškiau pradėjo vertinti neįgaliųjų padėtį ir atpažinti jų diskriminaciją.</w:t>
            </w:r>
          </w:p>
          <w:p w14:paraId="4EB94751" w14:textId="05888CD3" w:rsidR="00675AF7" w:rsidRPr="002C0831" w:rsidRDefault="00675AF7" w:rsidP="009606C3">
            <w:pPr>
              <w:jc w:val="both"/>
              <w:rPr>
                <w:rFonts w:ascii="Times New Roman" w:hAnsi="Times New Roman" w:cs="Times New Roman"/>
                <w:highlight w:val="yellow"/>
              </w:rPr>
            </w:pPr>
          </w:p>
        </w:tc>
      </w:tr>
      <w:tr w:rsidR="00D07AD9" w14:paraId="2BCD5290" w14:textId="77777777" w:rsidTr="00723A47">
        <w:tc>
          <w:tcPr>
            <w:tcW w:w="6091" w:type="dxa"/>
          </w:tcPr>
          <w:p w14:paraId="3E4E5FD4" w14:textId="39BB55CC" w:rsidR="00D07AD9" w:rsidRDefault="00675AF7" w:rsidP="00675AF7">
            <w:pPr>
              <w:jc w:val="both"/>
              <w:rPr>
                <w:rFonts w:ascii="Times New Roman" w:hAnsi="Times New Roman" w:cs="Times New Roman"/>
              </w:rPr>
            </w:pPr>
            <w:r>
              <w:rPr>
                <w:rFonts w:ascii="Times New Roman" w:hAnsi="Times New Roman" w:cs="Times New Roman"/>
              </w:rPr>
              <w:t>E-04-02</w:t>
            </w:r>
            <w:r w:rsidR="00723A47">
              <w:rPr>
                <w:noProof/>
              </w:rPr>
              <w:t xml:space="preserve"> </w:t>
            </w:r>
          </w:p>
          <w:p w14:paraId="5FBF144B" w14:textId="5EF46DBA" w:rsidR="00675AF7" w:rsidRDefault="00723A47" w:rsidP="00675AF7">
            <w:pPr>
              <w:jc w:val="both"/>
              <w:rPr>
                <w:rFonts w:ascii="Times New Roman" w:hAnsi="Times New Roman" w:cs="Times New Roman"/>
              </w:rPr>
            </w:pPr>
            <w:r>
              <w:rPr>
                <w:noProof/>
              </w:rPr>
              <w:drawing>
                <wp:inline distT="0" distB="0" distL="0" distR="0" wp14:anchorId="622260CB" wp14:editId="156987FE">
                  <wp:extent cx="3730625" cy="2269490"/>
                  <wp:effectExtent l="0" t="0" r="3175" b="16510"/>
                  <wp:docPr id="2" name="Chart 2">
                    <a:extLst xmlns:a="http://schemas.openxmlformats.org/drawingml/2006/main">
                      <a:ext uri="{FF2B5EF4-FFF2-40B4-BE49-F238E27FC236}">
                        <a16:creationId xmlns:a16="http://schemas.microsoft.com/office/drawing/2014/main" id="{313C621E-C4A9-4094-8BCF-14300E83F7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8192" w:type="dxa"/>
          </w:tcPr>
          <w:p w14:paraId="752672AE" w14:textId="77777777" w:rsidR="00723A47" w:rsidRDefault="00D07AD9" w:rsidP="00723A47">
            <w:pPr>
              <w:jc w:val="both"/>
              <w:rPr>
                <w:rFonts w:ascii="Times New Roman" w:hAnsi="Times New Roman" w:cs="Times New Roman"/>
              </w:rPr>
            </w:pPr>
            <w:r>
              <w:rPr>
                <w:rFonts w:ascii="Times New Roman" w:hAnsi="Times New Roman" w:cs="Times New Roman"/>
              </w:rPr>
              <w:t xml:space="preserve">Skaičiuojama, kokia dalis visų neįgaliųjų dalyvauja pagrindinių šalies </w:t>
            </w:r>
            <w:r w:rsidRPr="009606C3">
              <w:rPr>
                <w:rFonts w:ascii="Times New Roman" w:hAnsi="Times New Roman" w:cs="Times New Roman"/>
              </w:rPr>
              <w:t xml:space="preserve">skėtinių neįgaliųjų nevyriausybinių organizacijų </w:t>
            </w:r>
            <w:r>
              <w:rPr>
                <w:rFonts w:ascii="Times New Roman" w:hAnsi="Times New Roman" w:cs="Times New Roman"/>
              </w:rPr>
              <w:t xml:space="preserve">ir jų padalinių </w:t>
            </w:r>
            <w:r w:rsidRPr="009606C3">
              <w:rPr>
                <w:rFonts w:ascii="Times New Roman" w:hAnsi="Times New Roman" w:cs="Times New Roman"/>
              </w:rPr>
              <w:t>narystėje</w:t>
            </w:r>
            <w:r>
              <w:rPr>
                <w:rFonts w:ascii="Times New Roman" w:hAnsi="Times New Roman" w:cs="Times New Roman"/>
              </w:rPr>
              <w:t xml:space="preserve">. Neįgalieji – asmenys, kuriems teisės aktų nustatyta tvarka nustatytas neįgalumo lygis, netektas darbingumas arba specialieji poreikiai. </w:t>
            </w:r>
          </w:p>
          <w:p w14:paraId="1C19A079" w14:textId="4D5EB608" w:rsidR="00723A47" w:rsidRPr="00723A47" w:rsidRDefault="00723A47" w:rsidP="00723A47">
            <w:pPr>
              <w:jc w:val="both"/>
              <w:rPr>
                <w:rFonts w:ascii="Times New Roman" w:hAnsi="Times New Roman" w:cs="Times New Roman"/>
              </w:rPr>
            </w:pPr>
            <w:r>
              <w:rPr>
                <w:rFonts w:ascii="Times New Roman" w:eastAsia="Times New Roman" w:hAnsi="Times New Roman" w:cs="Times New Roman"/>
                <w:lang w:eastAsia="lt-LT"/>
              </w:rPr>
              <w:t xml:space="preserve">Neįgaliųjų, dalyvaujančių visuomeninėse organizacijose ir judėjimuose situaciją iliustruoja </w:t>
            </w:r>
            <w:r w:rsidRPr="00723A47">
              <w:rPr>
                <w:rFonts w:ascii="Times New Roman" w:eastAsia="Times New Roman" w:hAnsi="Times New Roman" w:cs="Times New Roman"/>
                <w:lang w:eastAsia="lt-LT"/>
              </w:rPr>
              <w:t xml:space="preserve">E-04-02 paveikslas, 2019 m. visuomeninėse organizacijose ir judėjimuose dalyvavo 35,6 </w:t>
            </w:r>
            <w:r w:rsidRPr="00723A47">
              <w:rPr>
                <w:rFonts w:ascii="Times New Roman" w:eastAsia="Times New Roman" w:hAnsi="Times New Roman" w:cs="Times New Roman"/>
                <w:lang w:val="en-US" w:eastAsia="lt-LT"/>
              </w:rPr>
              <w:t>% ne</w:t>
            </w:r>
            <w:r w:rsidRPr="00723A47">
              <w:rPr>
                <w:rFonts w:ascii="Times New Roman" w:eastAsia="Times New Roman" w:hAnsi="Times New Roman" w:cs="Times New Roman"/>
                <w:lang w:eastAsia="lt-LT"/>
              </w:rPr>
              <w:t xml:space="preserve">galią turinčių asmenų, o 2020 m. – </w:t>
            </w:r>
            <w:r>
              <w:rPr>
                <w:rFonts w:ascii="Times New Roman" w:eastAsia="Times New Roman" w:hAnsi="Times New Roman" w:cs="Times New Roman"/>
                <w:lang w:eastAsia="lt-LT"/>
              </w:rPr>
              <w:t>33,5</w:t>
            </w:r>
            <w:r w:rsidRPr="00723A47">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p>
          <w:p w14:paraId="0175B7D2" w14:textId="77777777" w:rsidR="00723A47" w:rsidRDefault="00723A47" w:rsidP="009606C3">
            <w:pPr>
              <w:jc w:val="both"/>
              <w:rPr>
                <w:rFonts w:ascii="Times New Roman" w:hAnsi="Times New Roman" w:cs="Times New Roman"/>
              </w:rPr>
            </w:pPr>
          </w:p>
          <w:p w14:paraId="7699B2DA" w14:textId="1D77AB92" w:rsidR="00723A47" w:rsidRDefault="00723A47" w:rsidP="009606C3">
            <w:pPr>
              <w:jc w:val="both"/>
              <w:rPr>
                <w:rFonts w:ascii="Times New Roman" w:hAnsi="Times New Roman" w:cs="Times New Roman"/>
              </w:rPr>
            </w:pPr>
            <w:r>
              <w:rPr>
                <w:rFonts w:ascii="Times New Roman" w:hAnsi="Times New Roman" w:cs="Times New Roman"/>
              </w:rPr>
              <w:t>Departamento vertinimu, nežymų mažėjimą 2020 m. lėmė daugumos organizacijų peržiūrėti, atnaujinti ir patikslinti turimų narių sąrašai.</w:t>
            </w:r>
          </w:p>
          <w:p w14:paraId="3080F29D" w14:textId="6EC69F4D" w:rsidR="00D07AD9" w:rsidRDefault="00D07AD9" w:rsidP="001C6E23">
            <w:pPr>
              <w:jc w:val="both"/>
              <w:rPr>
                <w:rFonts w:ascii="Times New Roman" w:hAnsi="Times New Roman" w:cs="Times New Roman"/>
              </w:rPr>
            </w:pPr>
          </w:p>
          <w:p w14:paraId="2078B953" w14:textId="77777777" w:rsidR="002C0831" w:rsidRDefault="002C0831" w:rsidP="001C6E23">
            <w:pPr>
              <w:jc w:val="both"/>
              <w:rPr>
                <w:rFonts w:ascii="Times New Roman" w:hAnsi="Times New Roman" w:cs="Times New Roman"/>
              </w:rPr>
            </w:pPr>
          </w:p>
          <w:p w14:paraId="7A445DBF" w14:textId="2C73F412" w:rsidR="00675AF7" w:rsidRPr="00F26EE3" w:rsidRDefault="00675AF7" w:rsidP="00F26EE3">
            <w:pPr>
              <w:tabs>
                <w:tab w:val="left" w:pos="212"/>
              </w:tabs>
              <w:jc w:val="both"/>
              <w:rPr>
                <w:rFonts w:ascii="Times New Roman" w:eastAsia="Times New Roman" w:hAnsi="Times New Roman" w:cs="Times New Roman"/>
                <w:lang w:eastAsia="lt-LT"/>
              </w:rPr>
            </w:pPr>
          </w:p>
        </w:tc>
      </w:tr>
    </w:tbl>
    <w:p w14:paraId="7ABEDC2A" w14:textId="77777777" w:rsidR="00E74EB2" w:rsidRDefault="00750D4C" w:rsidP="00723A47">
      <w:pPr>
        <w:pStyle w:val="bodytext"/>
        <w:tabs>
          <w:tab w:val="left" w:pos="851"/>
        </w:tabs>
        <w:spacing w:before="0" w:beforeAutospacing="0" w:after="0" w:afterAutospacing="0"/>
        <w:jc w:val="both"/>
      </w:pPr>
      <w:r>
        <w:tab/>
      </w:r>
    </w:p>
    <w:p w14:paraId="1226ADAD" w14:textId="77777777" w:rsidR="00560A40" w:rsidRPr="00D21B1B" w:rsidRDefault="00560A40" w:rsidP="00560A40">
      <w:pPr>
        <w:pStyle w:val="bodytext"/>
        <w:tabs>
          <w:tab w:val="left" w:pos="851"/>
        </w:tabs>
        <w:spacing w:before="0" w:beforeAutospacing="0" w:after="0" w:afterAutospacing="0"/>
        <w:jc w:val="both"/>
      </w:pPr>
    </w:p>
    <w:sectPr w:rsidR="00560A40" w:rsidRPr="00D21B1B" w:rsidSect="00C473A1">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6B1F" w14:textId="77777777" w:rsidR="0071654A" w:rsidRDefault="0071654A" w:rsidP="00802028">
      <w:pPr>
        <w:spacing w:after="0" w:line="240" w:lineRule="auto"/>
      </w:pPr>
      <w:r>
        <w:separator/>
      </w:r>
    </w:p>
  </w:endnote>
  <w:endnote w:type="continuationSeparator" w:id="0">
    <w:p w14:paraId="6E9C66F2" w14:textId="77777777" w:rsidR="0071654A" w:rsidRDefault="0071654A" w:rsidP="00802028">
      <w:pPr>
        <w:spacing w:after="0" w:line="240" w:lineRule="auto"/>
      </w:pPr>
      <w:r>
        <w:continuationSeparator/>
      </w:r>
    </w:p>
  </w:endnote>
  <w:endnote w:id="1">
    <w:p w14:paraId="71551EC0" w14:textId="2DF4C489" w:rsidR="002014BE" w:rsidRPr="002014BE" w:rsidRDefault="002014BE">
      <w:pPr>
        <w:pStyle w:val="EndnoteText"/>
        <w:rPr>
          <w:rFonts w:ascii="Times New Roman" w:hAnsi="Times New Roman" w:cs="Times New Roman"/>
        </w:rPr>
      </w:pPr>
      <w:r w:rsidRPr="002014BE">
        <w:rPr>
          <w:rStyle w:val="EndnoteReference"/>
          <w:rFonts w:ascii="Times New Roman" w:hAnsi="Times New Roman" w:cs="Times New Roman"/>
        </w:rPr>
        <w:endnoteRef/>
      </w:r>
      <w:r w:rsidRPr="002014BE">
        <w:rPr>
          <w:rFonts w:ascii="Times New Roman" w:hAnsi="Times New Roman" w:cs="Times New Roman"/>
        </w:rPr>
        <w:t xml:space="preserve"> https://www.biciulyste.lt/lt/integracijos-keliu/2100-neigaliuju-nedarbas-ar-lukesciai-labai-skiriasi-nuo-realios-situacijos</w:t>
      </w:r>
    </w:p>
  </w:endnote>
  <w:endnote w:id="2">
    <w:p w14:paraId="02F03B07" w14:textId="2857D9AF" w:rsidR="0099560D" w:rsidRDefault="0099560D">
      <w:pPr>
        <w:pStyle w:val="EndnoteText"/>
      </w:pPr>
      <w:r>
        <w:rPr>
          <w:rStyle w:val="EndnoteReference"/>
        </w:rPr>
        <w:endnoteRef/>
      </w:r>
      <w:r>
        <w:t xml:space="preserve"> </w:t>
      </w:r>
      <w:hyperlink r:id="rId1" w:history="1">
        <w:r w:rsidRPr="0099560D">
          <w:rPr>
            <w:rStyle w:val="Hyperlink"/>
            <w:rFonts w:ascii="Times New Roman" w:hAnsi="Times New Roman" w:cs="Times New Roman"/>
          </w:rPr>
          <w:t>http://www.ndt.lt/wp-content/uploads/Studija-de%CC%87l-finansine%CC%87s-pagalbos-priemoniu%CC%A8.pdf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43FF" w14:textId="77777777" w:rsidR="0071654A" w:rsidRDefault="0071654A" w:rsidP="00802028">
      <w:pPr>
        <w:spacing w:after="0" w:line="240" w:lineRule="auto"/>
      </w:pPr>
      <w:r>
        <w:separator/>
      </w:r>
    </w:p>
  </w:footnote>
  <w:footnote w:type="continuationSeparator" w:id="0">
    <w:p w14:paraId="4B3AC743" w14:textId="77777777" w:rsidR="0071654A" w:rsidRDefault="0071654A" w:rsidP="00802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09168"/>
      <w:docPartObj>
        <w:docPartGallery w:val="Page Numbers (Top of Page)"/>
        <w:docPartUnique/>
      </w:docPartObj>
    </w:sdtPr>
    <w:sdtEndPr>
      <w:rPr>
        <w:noProof/>
      </w:rPr>
    </w:sdtEndPr>
    <w:sdtContent>
      <w:p w14:paraId="25E86260" w14:textId="77777777" w:rsidR="00802028" w:rsidRDefault="00802028">
        <w:pPr>
          <w:pStyle w:val="Header"/>
          <w:jc w:val="center"/>
        </w:pPr>
        <w:r>
          <w:fldChar w:fldCharType="begin"/>
        </w:r>
        <w:r>
          <w:instrText xml:space="preserve"> PAGE   \* MERGEFORMAT </w:instrText>
        </w:r>
        <w:r>
          <w:fldChar w:fldCharType="separate"/>
        </w:r>
        <w:r w:rsidR="005F2276">
          <w:rPr>
            <w:noProof/>
          </w:rPr>
          <w:t>2</w:t>
        </w:r>
        <w:r>
          <w:rPr>
            <w:noProof/>
          </w:rPr>
          <w:fldChar w:fldCharType="end"/>
        </w:r>
      </w:p>
    </w:sdtContent>
  </w:sdt>
  <w:p w14:paraId="5F12D13E" w14:textId="77777777" w:rsidR="00802028" w:rsidRDefault="0080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4EF5"/>
    <w:multiLevelType w:val="hybridMultilevel"/>
    <w:tmpl w:val="350C886C"/>
    <w:lvl w:ilvl="0" w:tplc="58D440D2">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2A2043"/>
    <w:multiLevelType w:val="hybridMultilevel"/>
    <w:tmpl w:val="E75069A6"/>
    <w:lvl w:ilvl="0" w:tplc="E674849C">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E387C"/>
    <w:multiLevelType w:val="hybridMultilevel"/>
    <w:tmpl w:val="F9282BF4"/>
    <w:lvl w:ilvl="0" w:tplc="241A53A2">
      <w:start w:val="1"/>
      <w:numFmt w:val="decimal"/>
      <w:lvlText w:val="%1."/>
      <w:lvlJc w:val="left"/>
      <w:pPr>
        <w:ind w:left="1215" w:hanging="8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8926F8F"/>
    <w:multiLevelType w:val="hybridMultilevel"/>
    <w:tmpl w:val="29E0DAA8"/>
    <w:lvl w:ilvl="0" w:tplc="241A53A2">
      <w:start w:val="1"/>
      <w:numFmt w:val="decimal"/>
      <w:lvlText w:val="%1."/>
      <w:lvlJc w:val="left"/>
      <w:pPr>
        <w:ind w:left="1215" w:hanging="8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152FB1"/>
    <w:multiLevelType w:val="hybridMultilevel"/>
    <w:tmpl w:val="460E01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24049DB"/>
    <w:multiLevelType w:val="hybridMultilevel"/>
    <w:tmpl w:val="460E01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886232"/>
    <w:multiLevelType w:val="hybridMultilevel"/>
    <w:tmpl w:val="29EEFF78"/>
    <w:lvl w:ilvl="0" w:tplc="A6327AB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B1B01F7"/>
    <w:multiLevelType w:val="hybridMultilevel"/>
    <w:tmpl w:val="68365C7E"/>
    <w:lvl w:ilvl="0" w:tplc="FF2E2E52">
      <w:start w:val="1"/>
      <w:numFmt w:val="decimal"/>
      <w:lvlText w:val="%1."/>
      <w:lvlJc w:val="left"/>
      <w:pPr>
        <w:ind w:left="1684" w:hanging="9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6"/>
  </w:num>
  <w:num w:numId="2">
    <w:abstractNumId w:val="7"/>
  </w:num>
  <w:num w:numId="3">
    <w:abstractNumId w:val="1"/>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27"/>
    <w:rsid w:val="0000033A"/>
    <w:rsid w:val="00000E20"/>
    <w:rsid w:val="000150FC"/>
    <w:rsid w:val="000154F5"/>
    <w:rsid w:val="00024B7B"/>
    <w:rsid w:val="00025716"/>
    <w:rsid w:val="00031D4F"/>
    <w:rsid w:val="000375F8"/>
    <w:rsid w:val="0004500A"/>
    <w:rsid w:val="00053CCB"/>
    <w:rsid w:val="00056446"/>
    <w:rsid w:val="00065F0C"/>
    <w:rsid w:val="000672DE"/>
    <w:rsid w:val="00072792"/>
    <w:rsid w:val="000751D7"/>
    <w:rsid w:val="00087A9A"/>
    <w:rsid w:val="00091341"/>
    <w:rsid w:val="0009188D"/>
    <w:rsid w:val="000952FC"/>
    <w:rsid w:val="00095658"/>
    <w:rsid w:val="000A10DE"/>
    <w:rsid w:val="000A21F3"/>
    <w:rsid w:val="000A5B4A"/>
    <w:rsid w:val="000A5EA9"/>
    <w:rsid w:val="000B7448"/>
    <w:rsid w:val="000C0671"/>
    <w:rsid w:val="000C19CC"/>
    <w:rsid w:val="000C4689"/>
    <w:rsid w:val="000C585F"/>
    <w:rsid w:val="000D0FB6"/>
    <w:rsid w:val="000E7423"/>
    <w:rsid w:val="001152FC"/>
    <w:rsid w:val="001178C0"/>
    <w:rsid w:val="00122ED3"/>
    <w:rsid w:val="00133CAA"/>
    <w:rsid w:val="00134F8D"/>
    <w:rsid w:val="00135B43"/>
    <w:rsid w:val="00135ED5"/>
    <w:rsid w:val="001424C2"/>
    <w:rsid w:val="00150E8F"/>
    <w:rsid w:val="001561D0"/>
    <w:rsid w:val="00183158"/>
    <w:rsid w:val="00183BA6"/>
    <w:rsid w:val="00185A08"/>
    <w:rsid w:val="00186806"/>
    <w:rsid w:val="0019562E"/>
    <w:rsid w:val="001A6D1F"/>
    <w:rsid w:val="001C6199"/>
    <w:rsid w:val="001C6CF3"/>
    <w:rsid w:val="001C6E23"/>
    <w:rsid w:val="001C7144"/>
    <w:rsid w:val="001C775E"/>
    <w:rsid w:val="001E4A8D"/>
    <w:rsid w:val="001F1B6B"/>
    <w:rsid w:val="001F3223"/>
    <w:rsid w:val="002014BE"/>
    <w:rsid w:val="00207FAF"/>
    <w:rsid w:val="00231C8C"/>
    <w:rsid w:val="00235507"/>
    <w:rsid w:val="002368FB"/>
    <w:rsid w:val="0024553F"/>
    <w:rsid w:val="00245B68"/>
    <w:rsid w:val="00252DBA"/>
    <w:rsid w:val="00253A1C"/>
    <w:rsid w:val="002549EF"/>
    <w:rsid w:val="00255E10"/>
    <w:rsid w:val="00262550"/>
    <w:rsid w:val="002656FB"/>
    <w:rsid w:val="00274A42"/>
    <w:rsid w:val="002756D0"/>
    <w:rsid w:val="00276789"/>
    <w:rsid w:val="0028708A"/>
    <w:rsid w:val="00294F06"/>
    <w:rsid w:val="0029736E"/>
    <w:rsid w:val="002A0C74"/>
    <w:rsid w:val="002A3357"/>
    <w:rsid w:val="002A3BF2"/>
    <w:rsid w:val="002A5BAA"/>
    <w:rsid w:val="002B27E8"/>
    <w:rsid w:val="002C0831"/>
    <w:rsid w:val="002D017A"/>
    <w:rsid w:val="002D1856"/>
    <w:rsid w:val="002D62F0"/>
    <w:rsid w:val="002E2960"/>
    <w:rsid w:val="002E406A"/>
    <w:rsid w:val="002E446E"/>
    <w:rsid w:val="002E7248"/>
    <w:rsid w:val="002F099C"/>
    <w:rsid w:val="002F5270"/>
    <w:rsid w:val="003034FC"/>
    <w:rsid w:val="00316011"/>
    <w:rsid w:val="00317704"/>
    <w:rsid w:val="00335234"/>
    <w:rsid w:val="003430CF"/>
    <w:rsid w:val="00344E52"/>
    <w:rsid w:val="00346066"/>
    <w:rsid w:val="00354A11"/>
    <w:rsid w:val="0035615C"/>
    <w:rsid w:val="00356D93"/>
    <w:rsid w:val="00367DC6"/>
    <w:rsid w:val="00377BE5"/>
    <w:rsid w:val="00381F58"/>
    <w:rsid w:val="003A3981"/>
    <w:rsid w:val="003A39B4"/>
    <w:rsid w:val="003B29DD"/>
    <w:rsid w:val="003B3497"/>
    <w:rsid w:val="003B3720"/>
    <w:rsid w:val="003B61CB"/>
    <w:rsid w:val="003C2176"/>
    <w:rsid w:val="003E1FDF"/>
    <w:rsid w:val="003E3763"/>
    <w:rsid w:val="003F1DCA"/>
    <w:rsid w:val="004228CC"/>
    <w:rsid w:val="0042798B"/>
    <w:rsid w:val="00434884"/>
    <w:rsid w:val="004379A4"/>
    <w:rsid w:val="004413E1"/>
    <w:rsid w:val="00442CBA"/>
    <w:rsid w:val="004441DE"/>
    <w:rsid w:val="0046315D"/>
    <w:rsid w:val="00466765"/>
    <w:rsid w:val="004730FB"/>
    <w:rsid w:val="0049331E"/>
    <w:rsid w:val="004A2934"/>
    <w:rsid w:val="004A5F0E"/>
    <w:rsid w:val="004A6A90"/>
    <w:rsid w:val="004C0AE5"/>
    <w:rsid w:val="004C30C9"/>
    <w:rsid w:val="004C4FB9"/>
    <w:rsid w:val="004E2439"/>
    <w:rsid w:val="004E528F"/>
    <w:rsid w:val="004F2406"/>
    <w:rsid w:val="005061AC"/>
    <w:rsid w:val="0050790A"/>
    <w:rsid w:val="00517440"/>
    <w:rsid w:val="005273C8"/>
    <w:rsid w:val="0053758D"/>
    <w:rsid w:val="00546F64"/>
    <w:rsid w:val="00550396"/>
    <w:rsid w:val="00550820"/>
    <w:rsid w:val="00560A40"/>
    <w:rsid w:val="00574A66"/>
    <w:rsid w:val="00577183"/>
    <w:rsid w:val="00582AA0"/>
    <w:rsid w:val="00585D2B"/>
    <w:rsid w:val="0059076E"/>
    <w:rsid w:val="00596E4D"/>
    <w:rsid w:val="005A73F3"/>
    <w:rsid w:val="005B6CCB"/>
    <w:rsid w:val="005D04B2"/>
    <w:rsid w:val="005D1B84"/>
    <w:rsid w:val="005D3034"/>
    <w:rsid w:val="005D77C0"/>
    <w:rsid w:val="005E27BC"/>
    <w:rsid w:val="005F2276"/>
    <w:rsid w:val="005F341A"/>
    <w:rsid w:val="005F3D5F"/>
    <w:rsid w:val="00602BC1"/>
    <w:rsid w:val="00606317"/>
    <w:rsid w:val="00614646"/>
    <w:rsid w:val="00633A78"/>
    <w:rsid w:val="0063438A"/>
    <w:rsid w:val="00634518"/>
    <w:rsid w:val="006357FE"/>
    <w:rsid w:val="00645D1B"/>
    <w:rsid w:val="006565E0"/>
    <w:rsid w:val="00660E40"/>
    <w:rsid w:val="006677D6"/>
    <w:rsid w:val="00675AF7"/>
    <w:rsid w:val="00684E7A"/>
    <w:rsid w:val="00687ED0"/>
    <w:rsid w:val="006A199D"/>
    <w:rsid w:val="006A5FD8"/>
    <w:rsid w:val="006B29B0"/>
    <w:rsid w:val="006B54BD"/>
    <w:rsid w:val="006C1CEB"/>
    <w:rsid w:val="006C2501"/>
    <w:rsid w:val="006D1607"/>
    <w:rsid w:val="006D1D8C"/>
    <w:rsid w:val="006E2CD8"/>
    <w:rsid w:val="006E3B73"/>
    <w:rsid w:val="006E669B"/>
    <w:rsid w:val="006F289D"/>
    <w:rsid w:val="006F339C"/>
    <w:rsid w:val="006F3524"/>
    <w:rsid w:val="00702C4C"/>
    <w:rsid w:val="00706230"/>
    <w:rsid w:val="007066CA"/>
    <w:rsid w:val="007119B0"/>
    <w:rsid w:val="0071654A"/>
    <w:rsid w:val="00723A47"/>
    <w:rsid w:val="00727AF3"/>
    <w:rsid w:val="00730741"/>
    <w:rsid w:val="007361EA"/>
    <w:rsid w:val="00743FFD"/>
    <w:rsid w:val="00746A81"/>
    <w:rsid w:val="00750D4C"/>
    <w:rsid w:val="0076790F"/>
    <w:rsid w:val="00781E41"/>
    <w:rsid w:val="007912EA"/>
    <w:rsid w:val="007929D0"/>
    <w:rsid w:val="00792F78"/>
    <w:rsid w:val="00793748"/>
    <w:rsid w:val="00795467"/>
    <w:rsid w:val="00795E54"/>
    <w:rsid w:val="007A12EF"/>
    <w:rsid w:val="007B4F2A"/>
    <w:rsid w:val="007C32B1"/>
    <w:rsid w:val="007C40C2"/>
    <w:rsid w:val="007C49E9"/>
    <w:rsid w:val="007D17D5"/>
    <w:rsid w:val="007E6869"/>
    <w:rsid w:val="007E698F"/>
    <w:rsid w:val="007F0D73"/>
    <w:rsid w:val="007F2F09"/>
    <w:rsid w:val="007F3ECC"/>
    <w:rsid w:val="00802028"/>
    <w:rsid w:val="0081406D"/>
    <w:rsid w:val="008145AD"/>
    <w:rsid w:val="00833D16"/>
    <w:rsid w:val="00837F75"/>
    <w:rsid w:val="00845B89"/>
    <w:rsid w:val="008608B1"/>
    <w:rsid w:val="008612A0"/>
    <w:rsid w:val="008616C9"/>
    <w:rsid w:val="00870660"/>
    <w:rsid w:val="0087436A"/>
    <w:rsid w:val="00875F29"/>
    <w:rsid w:val="00877709"/>
    <w:rsid w:val="00886223"/>
    <w:rsid w:val="008876AF"/>
    <w:rsid w:val="00887E8C"/>
    <w:rsid w:val="008925F4"/>
    <w:rsid w:val="0089423D"/>
    <w:rsid w:val="008A15CC"/>
    <w:rsid w:val="008A376B"/>
    <w:rsid w:val="008B3A28"/>
    <w:rsid w:val="008C320A"/>
    <w:rsid w:val="008C33F7"/>
    <w:rsid w:val="008D7C1F"/>
    <w:rsid w:val="008E49A8"/>
    <w:rsid w:val="008F1B4F"/>
    <w:rsid w:val="008F5A37"/>
    <w:rsid w:val="00904112"/>
    <w:rsid w:val="009068ED"/>
    <w:rsid w:val="009165C1"/>
    <w:rsid w:val="00916860"/>
    <w:rsid w:val="00922828"/>
    <w:rsid w:val="00925823"/>
    <w:rsid w:val="00936901"/>
    <w:rsid w:val="00937D1A"/>
    <w:rsid w:val="009416C1"/>
    <w:rsid w:val="00941E48"/>
    <w:rsid w:val="00945C44"/>
    <w:rsid w:val="0095764A"/>
    <w:rsid w:val="009606C3"/>
    <w:rsid w:val="00961F6F"/>
    <w:rsid w:val="00964437"/>
    <w:rsid w:val="00972A91"/>
    <w:rsid w:val="009850F1"/>
    <w:rsid w:val="0099560D"/>
    <w:rsid w:val="0099774C"/>
    <w:rsid w:val="009A39E8"/>
    <w:rsid w:val="009A4AAF"/>
    <w:rsid w:val="009B0E58"/>
    <w:rsid w:val="009B33F9"/>
    <w:rsid w:val="009B37EF"/>
    <w:rsid w:val="009B3F9A"/>
    <w:rsid w:val="009C31E0"/>
    <w:rsid w:val="009C7960"/>
    <w:rsid w:val="009D368C"/>
    <w:rsid w:val="009D589F"/>
    <w:rsid w:val="009E5FDC"/>
    <w:rsid w:val="009F7731"/>
    <w:rsid w:val="009F7E7D"/>
    <w:rsid w:val="00A212A4"/>
    <w:rsid w:val="00A34DD7"/>
    <w:rsid w:val="00A40305"/>
    <w:rsid w:val="00A43154"/>
    <w:rsid w:val="00A55C44"/>
    <w:rsid w:val="00A60D8E"/>
    <w:rsid w:val="00A62413"/>
    <w:rsid w:val="00A625DF"/>
    <w:rsid w:val="00A83BEB"/>
    <w:rsid w:val="00A91F3B"/>
    <w:rsid w:val="00AA1CF0"/>
    <w:rsid w:val="00AB0961"/>
    <w:rsid w:val="00AB12F2"/>
    <w:rsid w:val="00AB400D"/>
    <w:rsid w:val="00AB49A4"/>
    <w:rsid w:val="00AB4AFB"/>
    <w:rsid w:val="00AB72EE"/>
    <w:rsid w:val="00AD2AE9"/>
    <w:rsid w:val="00AE57F0"/>
    <w:rsid w:val="00AF37F8"/>
    <w:rsid w:val="00B02555"/>
    <w:rsid w:val="00B02FCC"/>
    <w:rsid w:val="00B056EB"/>
    <w:rsid w:val="00B23446"/>
    <w:rsid w:val="00B31E03"/>
    <w:rsid w:val="00B43F30"/>
    <w:rsid w:val="00B47D39"/>
    <w:rsid w:val="00B538A7"/>
    <w:rsid w:val="00B55B01"/>
    <w:rsid w:val="00B55DB3"/>
    <w:rsid w:val="00B602FA"/>
    <w:rsid w:val="00B619CB"/>
    <w:rsid w:val="00B66170"/>
    <w:rsid w:val="00B73995"/>
    <w:rsid w:val="00B752C5"/>
    <w:rsid w:val="00B81EF0"/>
    <w:rsid w:val="00B904F5"/>
    <w:rsid w:val="00B926B7"/>
    <w:rsid w:val="00B94E53"/>
    <w:rsid w:val="00BB50C9"/>
    <w:rsid w:val="00BC74AB"/>
    <w:rsid w:val="00BD05F2"/>
    <w:rsid w:val="00BD0DDC"/>
    <w:rsid w:val="00BE0998"/>
    <w:rsid w:val="00BF1228"/>
    <w:rsid w:val="00BF3E1A"/>
    <w:rsid w:val="00C01893"/>
    <w:rsid w:val="00C109C6"/>
    <w:rsid w:val="00C15784"/>
    <w:rsid w:val="00C244F0"/>
    <w:rsid w:val="00C25E44"/>
    <w:rsid w:val="00C26F81"/>
    <w:rsid w:val="00C31F57"/>
    <w:rsid w:val="00C40F4F"/>
    <w:rsid w:val="00C43310"/>
    <w:rsid w:val="00C473A1"/>
    <w:rsid w:val="00C5699F"/>
    <w:rsid w:val="00C62CCA"/>
    <w:rsid w:val="00C637D8"/>
    <w:rsid w:val="00C6579A"/>
    <w:rsid w:val="00C84B86"/>
    <w:rsid w:val="00C965A0"/>
    <w:rsid w:val="00C96AF9"/>
    <w:rsid w:val="00C96FD0"/>
    <w:rsid w:val="00C97AA8"/>
    <w:rsid w:val="00CB3D40"/>
    <w:rsid w:val="00CB5FA9"/>
    <w:rsid w:val="00CC65E8"/>
    <w:rsid w:val="00CD0F18"/>
    <w:rsid w:val="00CE3A60"/>
    <w:rsid w:val="00CE3E56"/>
    <w:rsid w:val="00CE5A75"/>
    <w:rsid w:val="00CF0394"/>
    <w:rsid w:val="00CF6046"/>
    <w:rsid w:val="00D03668"/>
    <w:rsid w:val="00D0375A"/>
    <w:rsid w:val="00D07AD9"/>
    <w:rsid w:val="00D168D9"/>
    <w:rsid w:val="00D21B1B"/>
    <w:rsid w:val="00D260C3"/>
    <w:rsid w:val="00D27016"/>
    <w:rsid w:val="00D27DC7"/>
    <w:rsid w:val="00D431AF"/>
    <w:rsid w:val="00D441EE"/>
    <w:rsid w:val="00D466A8"/>
    <w:rsid w:val="00D52254"/>
    <w:rsid w:val="00D672E1"/>
    <w:rsid w:val="00D6766F"/>
    <w:rsid w:val="00D67913"/>
    <w:rsid w:val="00D747C0"/>
    <w:rsid w:val="00D76609"/>
    <w:rsid w:val="00D77260"/>
    <w:rsid w:val="00D9318B"/>
    <w:rsid w:val="00D97C83"/>
    <w:rsid w:val="00DA000E"/>
    <w:rsid w:val="00DA0B1B"/>
    <w:rsid w:val="00DB3A31"/>
    <w:rsid w:val="00DB7BAE"/>
    <w:rsid w:val="00DC058A"/>
    <w:rsid w:val="00DC49A8"/>
    <w:rsid w:val="00DC6602"/>
    <w:rsid w:val="00DC78D9"/>
    <w:rsid w:val="00DD2C8D"/>
    <w:rsid w:val="00DE087A"/>
    <w:rsid w:val="00DE2F9D"/>
    <w:rsid w:val="00DF0C15"/>
    <w:rsid w:val="00E064FD"/>
    <w:rsid w:val="00E06AA3"/>
    <w:rsid w:val="00E06FA4"/>
    <w:rsid w:val="00E15076"/>
    <w:rsid w:val="00E251F4"/>
    <w:rsid w:val="00E30107"/>
    <w:rsid w:val="00E30324"/>
    <w:rsid w:val="00E31F92"/>
    <w:rsid w:val="00E40E46"/>
    <w:rsid w:val="00E50328"/>
    <w:rsid w:val="00E6287C"/>
    <w:rsid w:val="00E74EB2"/>
    <w:rsid w:val="00E825AB"/>
    <w:rsid w:val="00E86E27"/>
    <w:rsid w:val="00E875E1"/>
    <w:rsid w:val="00E90B98"/>
    <w:rsid w:val="00E932EE"/>
    <w:rsid w:val="00E9346C"/>
    <w:rsid w:val="00E955C0"/>
    <w:rsid w:val="00EA02F6"/>
    <w:rsid w:val="00EA35CF"/>
    <w:rsid w:val="00EA7698"/>
    <w:rsid w:val="00EB601C"/>
    <w:rsid w:val="00EC5B26"/>
    <w:rsid w:val="00EC70ED"/>
    <w:rsid w:val="00ED1A6E"/>
    <w:rsid w:val="00ED4923"/>
    <w:rsid w:val="00EE0EFF"/>
    <w:rsid w:val="00EE3A6D"/>
    <w:rsid w:val="00EF3762"/>
    <w:rsid w:val="00EF531E"/>
    <w:rsid w:val="00EF662B"/>
    <w:rsid w:val="00F04014"/>
    <w:rsid w:val="00F06E8F"/>
    <w:rsid w:val="00F1351E"/>
    <w:rsid w:val="00F15345"/>
    <w:rsid w:val="00F26EE3"/>
    <w:rsid w:val="00F3102A"/>
    <w:rsid w:val="00F34E6F"/>
    <w:rsid w:val="00F467B9"/>
    <w:rsid w:val="00F60A22"/>
    <w:rsid w:val="00F6509E"/>
    <w:rsid w:val="00F6692A"/>
    <w:rsid w:val="00F87E02"/>
    <w:rsid w:val="00FA2823"/>
    <w:rsid w:val="00FA37FA"/>
    <w:rsid w:val="00FA5A8D"/>
    <w:rsid w:val="00FB51F6"/>
    <w:rsid w:val="00FC0F28"/>
    <w:rsid w:val="00FC3D96"/>
    <w:rsid w:val="00FD1995"/>
    <w:rsid w:val="00FD425A"/>
    <w:rsid w:val="00FD623F"/>
    <w:rsid w:val="00FE0777"/>
    <w:rsid w:val="00FE118C"/>
    <w:rsid w:val="00FE50E9"/>
    <w:rsid w:val="00FE54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EABA"/>
  <w15:docId w15:val="{54A59BD6-7AAF-4C1A-B792-5F6662F3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E27"/>
    <w:rPr>
      <w:color w:val="000000"/>
      <w:u w:val="single"/>
    </w:rPr>
  </w:style>
  <w:style w:type="paragraph" w:customStyle="1" w:styleId="centrbold">
    <w:name w:val="centrbold"/>
    <w:basedOn w:val="Normal"/>
    <w:rsid w:val="00E86E2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rsid w:val="00E86E2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nija">
    <w:name w:val="linija"/>
    <w:basedOn w:val="Normal"/>
    <w:rsid w:val="00E86E2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8020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802028"/>
  </w:style>
  <w:style w:type="paragraph" w:styleId="Footer">
    <w:name w:val="footer"/>
    <w:basedOn w:val="Normal"/>
    <w:link w:val="FooterChar"/>
    <w:uiPriority w:val="99"/>
    <w:unhideWhenUsed/>
    <w:rsid w:val="008020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802028"/>
  </w:style>
  <w:style w:type="paragraph" w:styleId="BalloonText">
    <w:name w:val="Balloon Text"/>
    <w:basedOn w:val="Normal"/>
    <w:link w:val="BalloonTextChar"/>
    <w:uiPriority w:val="99"/>
    <w:semiHidden/>
    <w:unhideWhenUsed/>
    <w:rsid w:val="0080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28"/>
    <w:rPr>
      <w:rFonts w:ascii="Tahoma" w:hAnsi="Tahoma" w:cs="Tahoma"/>
      <w:sz w:val="16"/>
      <w:szCs w:val="16"/>
    </w:rPr>
  </w:style>
  <w:style w:type="paragraph" w:styleId="HTMLPreformatted">
    <w:name w:val="HTML Preformatted"/>
    <w:basedOn w:val="Normal"/>
    <w:link w:val="HTMLPreformattedChar"/>
    <w:rsid w:val="0079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795467"/>
    <w:rPr>
      <w:rFonts w:ascii="Courier New" w:eastAsia="Times New Roman" w:hAnsi="Courier New" w:cs="Courier New"/>
      <w:sz w:val="20"/>
      <w:szCs w:val="20"/>
      <w:lang w:val="en-US"/>
    </w:rPr>
  </w:style>
  <w:style w:type="table" w:styleId="TableGrid">
    <w:name w:val="Table Grid"/>
    <w:basedOn w:val="TableNormal"/>
    <w:uiPriority w:val="59"/>
    <w:rsid w:val="00E6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Hyperlink Char"/>
    <w:link w:val="BodyText1"/>
    <w:rsid w:val="006F289D"/>
    <w:rPr>
      <w:rFonts w:ascii="Times New Roman" w:eastAsia="Times New Roman" w:hAnsi="Times New Roman"/>
      <w:sz w:val="24"/>
      <w:szCs w:val="24"/>
    </w:rPr>
  </w:style>
  <w:style w:type="paragraph" w:customStyle="1" w:styleId="BodyText1">
    <w:name w:val="Body Text1"/>
    <w:basedOn w:val="Normal"/>
    <w:link w:val="BodyTextChar"/>
    <w:rsid w:val="006F289D"/>
    <w:pPr>
      <w:spacing w:after="0" w:line="240" w:lineRule="auto"/>
      <w:jc w:val="both"/>
    </w:pPr>
    <w:rPr>
      <w:rFonts w:ascii="Times New Roman" w:eastAsia="Times New Roman" w:hAnsi="Times New Roman"/>
      <w:sz w:val="24"/>
      <w:szCs w:val="24"/>
    </w:rPr>
  </w:style>
  <w:style w:type="paragraph" w:styleId="ListParagraph">
    <w:name w:val="List Paragraph"/>
    <w:basedOn w:val="Normal"/>
    <w:uiPriority w:val="34"/>
    <w:qFormat/>
    <w:rsid w:val="001C6E23"/>
    <w:pPr>
      <w:ind w:left="720"/>
      <w:contextualSpacing/>
    </w:pPr>
  </w:style>
  <w:style w:type="paragraph" w:styleId="NormalWeb">
    <w:name w:val="Normal (Web)"/>
    <w:basedOn w:val="Normal"/>
    <w:uiPriority w:val="99"/>
    <w:semiHidden/>
    <w:unhideWhenUsed/>
    <w:rsid w:val="00AB12F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EndnoteText">
    <w:name w:val="endnote text"/>
    <w:basedOn w:val="Normal"/>
    <w:link w:val="EndnoteTextChar"/>
    <w:uiPriority w:val="99"/>
    <w:semiHidden/>
    <w:unhideWhenUsed/>
    <w:rsid w:val="009956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60D"/>
    <w:rPr>
      <w:sz w:val="20"/>
      <w:szCs w:val="20"/>
    </w:rPr>
  </w:style>
  <w:style w:type="character" w:styleId="EndnoteReference">
    <w:name w:val="endnote reference"/>
    <w:basedOn w:val="DefaultParagraphFont"/>
    <w:uiPriority w:val="99"/>
    <w:semiHidden/>
    <w:unhideWhenUsed/>
    <w:rsid w:val="0099560D"/>
    <w:rPr>
      <w:vertAlign w:val="superscript"/>
    </w:rPr>
  </w:style>
  <w:style w:type="character" w:styleId="UnresolvedMention">
    <w:name w:val="Unresolved Mention"/>
    <w:basedOn w:val="DefaultParagraphFont"/>
    <w:uiPriority w:val="99"/>
    <w:semiHidden/>
    <w:unhideWhenUsed/>
    <w:rsid w:val="0099560D"/>
    <w:rPr>
      <w:color w:val="605E5C"/>
      <w:shd w:val="clear" w:color="auto" w:fill="E1DFDD"/>
    </w:rPr>
  </w:style>
  <w:style w:type="paragraph" w:styleId="FootnoteText">
    <w:name w:val="footnote text"/>
    <w:basedOn w:val="Normal"/>
    <w:link w:val="FootnoteTextChar"/>
    <w:uiPriority w:val="99"/>
    <w:semiHidden/>
    <w:unhideWhenUsed/>
    <w:rsid w:val="00201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4BE"/>
    <w:rPr>
      <w:sz w:val="20"/>
      <w:szCs w:val="20"/>
    </w:rPr>
  </w:style>
  <w:style w:type="character" w:styleId="FootnoteReference">
    <w:name w:val="footnote reference"/>
    <w:basedOn w:val="DefaultParagraphFont"/>
    <w:uiPriority w:val="99"/>
    <w:semiHidden/>
    <w:unhideWhenUsed/>
    <w:rsid w:val="00201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988">
      <w:bodyDiv w:val="1"/>
      <w:marLeft w:val="0"/>
      <w:marRight w:val="0"/>
      <w:marTop w:val="0"/>
      <w:marBottom w:val="0"/>
      <w:divBdr>
        <w:top w:val="none" w:sz="0" w:space="0" w:color="auto"/>
        <w:left w:val="none" w:sz="0" w:space="0" w:color="auto"/>
        <w:bottom w:val="none" w:sz="0" w:space="0" w:color="auto"/>
        <w:right w:val="none" w:sz="0" w:space="0" w:color="auto"/>
      </w:divBdr>
    </w:div>
    <w:div w:id="112750157">
      <w:bodyDiv w:val="1"/>
      <w:marLeft w:val="0"/>
      <w:marRight w:val="0"/>
      <w:marTop w:val="0"/>
      <w:marBottom w:val="0"/>
      <w:divBdr>
        <w:top w:val="none" w:sz="0" w:space="0" w:color="auto"/>
        <w:left w:val="none" w:sz="0" w:space="0" w:color="auto"/>
        <w:bottom w:val="none" w:sz="0" w:space="0" w:color="auto"/>
        <w:right w:val="none" w:sz="0" w:space="0" w:color="auto"/>
      </w:divBdr>
    </w:div>
    <w:div w:id="435105389">
      <w:bodyDiv w:val="1"/>
      <w:marLeft w:val="0"/>
      <w:marRight w:val="0"/>
      <w:marTop w:val="0"/>
      <w:marBottom w:val="0"/>
      <w:divBdr>
        <w:top w:val="none" w:sz="0" w:space="0" w:color="auto"/>
        <w:left w:val="none" w:sz="0" w:space="0" w:color="auto"/>
        <w:bottom w:val="none" w:sz="0" w:space="0" w:color="auto"/>
        <w:right w:val="none" w:sz="0" w:space="0" w:color="auto"/>
      </w:divBdr>
    </w:div>
    <w:div w:id="684096534">
      <w:bodyDiv w:val="1"/>
      <w:marLeft w:val="0"/>
      <w:marRight w:val="0"/>
      <w:marTop w:val="0"/>
      <w:marBottom w:val="0"/>
      <w:divBdr>
        <w:top w:val="none" w:sz="0" w:space="0" w:color="auto"/>
        <w:left w:val="none" w:sz="0" w:space="0" w:color="auto"/>
        <w:bottom w:val="none" w:sz="0" w:space="0" w:color="auto"/>
        <w:right w:val="none" w:sz="0" w:space="0" w:color="auto"/>
      </w:divBdr>
    </w:div>
    <w:div w:id="868106173">
      <w:bodyDiv w:val="1"/>
      <w:marLeft w:val="0"/>
      <w:marRight w:val="0"/>
      <w:marTop w:val="0"/>
      <w:marBottom w:val="0"/>
      <w:divBdr>
        <w:top w:val="none" w:sz="0" w:space="0" w:color="auto"/>
        <w:left w:val="none" w:sz="0" w:space="0" w:color="auto"/>
        <w:bottom w:val="none" w:sz="0" w:space="0" w:color="auto"/>
        <w:right w:val="none" w:sz="0" w:space="0" w:color="auto"/>
      </w:divBdr>
    </w:div>
    <w:div w:id="1130172457">
      <w:bodyDiv w:val="1"/>
      <w:marLeft w:val="0"/>
      <w:marRight w:val="0"/>
      <w:marTop w:val="0"/>
      <w:marBottom w:val="0"/>
      <w:divBdr>
        <w:top w:val="none" w:sz="0" w:space="0" w:color="auto"/>
        <w:left w:val="none" w:sz="0" w:space="0" w:color="auto"/>
        <w:bottom w:val="none" w:sz="0" w:space="0" w:color="auto"/>
        <w:right w:val="none" w:sz="0" w:space="0" w:color="auto"/>
      </w:divBdr>
    </w:div>
    <w:div w:id="1162351415">
      <w:bodyDiv w:val="1"/>
      <w:marLeft w:val="225"/>
      <w:marRight w:val="225"/>
      <w:marTop w:val="0"/>
      <w:marBottom w:val="0"/>
      <w:divBdr>
        <w:top w:val="none" w:sz="0" w:space="0" w:color="auto"/>
        <w:left w:val="none" w:sz="0" w:space="0" w:color="auto"/>
        <w:bottom w:val="none" w:sz="0" w:space="0" w:color="auto"/>
        <w:right w:val="none" w:sz="0" w:space="0" w:color="auto"/>
      </w:divBdr>
      <w:divsChild>
        <w:div w:id="642855494">
          <w:marLeft w:val="0"/>
          <w:marRight w:val="0"/>
          <w:marTop w:val="0"/>
          <w:marBottom w:val="0"/>
          <w:divBdr>
            <w:top w:val="none" w:sz="0" w:space="0" w:color="auto"/>
            <w:left w:val="none" w:sz="0" w:space="0" w:color="auto"/>
            <w:bottom w:val="none" w:sz="0" w:space="0" w:color="auto"/>
            <w:right w:val="none" w:sz="0" w:space="0" w:color="auto"/>
          </w:divBdr>
        </w:div>
      </w:divsChild>
    </w:div>
    <w:div w:id="20955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header" Target="header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chart" Target="charts/chart5.xml"/></Relationships>
</file>

<file path=word/_rels/endnotes.xml.rels><?xml version="1.0" encoding="UTF-8" standalone="yes"?>
<Relationships xmlns="http://schemas.openxmlformats.org/package/2006/relationships"><Relationship Id="rId1" Type="http://schemas.openxmlformats.org/officeDocument/2006/relationships/hyperlink" Target="http://www.ndt.lt/wp-content/uploads/Studija-de%CC%87l-finansine%CC%87s-pagalbos-priemoniu%CC%A8.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EMIJAN\Desktop\Vedami%20kriterijai%20(paskutiniai).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solidFill>
                  <a:sysClr val="windowText" lastClr="000000"/>
                </a:solidFill>
              </a:rPr>
              <a:t>Nacionalinės programos įgyvendinimui</a:t>
            </a:r>
            <a:r>
              <a:rPr lang="lt-LT" baseline="0">
                <a:solidFill>
                  <a:sysClr val="windowText" lastClr="000000"/>
                </a:solidFill>
              </a:rPr>
              <a:t> panaudotos</a:t>
            </a:r>
            <a:r>
              <a:rPr lang="lt-LT">
                <a:solidFill>
                  <a:sysClr val="windowText" lastClr="000000"/>
                </a:solidFill>
              </a:rPr>
              <a:t> lėšos </a:t>
            </a:r>
          </a:p>
          <a:p>
            <a:pPr>
              <a:defRPr/>
            </a:pPr>
            <a:r>
              <a:rPr lang="lt-LT">
                <a:solidFill>
                  <a:sysClr val="windowText" lastClr="000000"/>
                </a:solidFill>
              </a:rPr>
              <a:t>2013 - 2020 m. (tūkst. eurų)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Lapas1!$C$4</c:f>
              <c:strCache>
                <c:ptCount val="1"/>
                <c:pt idx="0">
                  <c:v>VB</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Lapas1!$A$5:$A$12</c:f>
              <c:numCache>
                <c:formatCode>General</c:formatCode>
                <c:ptCount val="8"/>
                <c:pt idx="0">
                  <c:v>2013</c:v>
                </c:pt>
                <c:pt idx="1">
                  <c:v>2014</c:v>
                </c:pt>
                <c:pt idx="2">
                  <c:v>2015</c:v>
                </c:pt>
                <c:pt idx="3">
                  <c:v>2016</c:v>
                </c:pt>
                <c:pt idx="4">
                  <c:v>2017</c:v>
                </c:pt>
                <c:pt idx="5">
                  <c:v>2018</c:v>
                </c:pt>
                <c:pt idx="6">
                  <c:v>2019</c:v>
                </c:pt>
                <c:pt idx="7">
                  <c:v>2020</c:v>
                </c:pt>
              </c:numCache>
            </c:numRef>
          </c:cat>
          <c:val>
            <c:numRef>
              <c:f>Lapas1!$C$5:$C$12</c:f>
              <c:numCache>
                <c:formatCode>General</c:formatCode>
                <c:ptCount val="8"/>
                <c:pt idx="0">
                  <c:v>7981.53</c:v>
                </c:pt>
                <c:pt idx="1">
                  <c:v>8426.91</c:v>
                </c:pt>
                <c:pt idx="2">
                  <c:v>15063.09</c:v>
                </c:pt>
                <c:pt idx="3">
                  <c:v>10422.799999999999</c:v>
                </c:pt>
                <c:pt idx="4">
                  <c:v>11224.74</c:v>
                </c:pt>
                <c:pt idx="5">
                  <c:v>10752.07</c:v>
                </c:pt>
                <c:pt idx="6">
                  <c:v>15307.93</c:v>
                </c:pt>
                <c:pt idx="7" formatCode="#,##0.00">
                  <c:v>13916.26</c:v>
                </c:pt>
              </c:numCache>
            </c:numRef>
          </c:val>
          <c:extLst>
            <c:ext xmlns:c16="http://schemas.microsoft.com/office/drawing/2014/chart" uri="{C3380CC4-5D6E-409C-BE32-E72D297353CC}">
              <c16:uniqueId val="{00000000-65B2-40C2-89A9-3592C17268F8}"/>
            </c:ext>
          </c:extLst>
        </c:ser>
        <c:ser>
          <c:idx val="1"/>
          <c:order val="1"/>
          <c:tx>
            <c:strRef>
              <c:f>Lapas1!$D$4</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Lapas1!$A$5:$A$12</c:f>
              <c:numCache>
                <c:formatCode>General</c:formatCode>
                <c:ptCount val="8"/>
                <c:pt idx="0">
                  <c:v>2013</c:v>
                </c:pt>
                <c:pt idx="1">
                  <c:v>2014</c:v>
                </c:pt>
                <c:pt idx="2">
                  <c:v>2015</c:v>
                </c:pt>
                <c:pt idx="3">
                  <c:v>2016</c:v>
                </c:pt>
                <c:pt idx="4">
                  <c:v>2017</c:v>
                </c:pt>
                <c:pt idx="5">
                  <c:v>2018</c:v>
                </c:pt>
                <c:pt idx="6">
                  <c:v>2019</c:v>
                </c:pt>
                <c:pt idx="7">
                  <c:v>2020</c:v>
                </c:pt>
              </c:numCache>
            </c:numRef>
          </c:cat>
          <c:val>
            <c:numRef>
              <c:f>Lapas1!$D$5:$D$12</c:f>
            </c:numRef>
          </c:val>
          <c:extLst>
            <c:ext xmlns:c16="http://schemas.microsoft.com/office/drawing/2014/chart" uri="{C3380CC4-5D6E-409C-BE32-E72D297353CC}">
              <c16:uniqueId val="{00000001-65B2-40C2-89A9-3592C17268F8}"/>
            </c:ext>
          </c:extLst>
        </c:ser>
        <c:ser>
          <c:idx val="2"/>
          <c:order val="2"/>
          <c:tx>
            <c:strRef>
              <c:f>Lapas1!$E$4</c:f>
              <c:strCache>
                <c:ptCount val="1"/>
                <c:pt idx="0">
                  <c:v>ESF</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Lapas1!$A$5:$A$12</c:f>
              <c:numCache>
                <c:formatCode>General</c:formatCode>
                <c:ptCount val="8"/>
                <c:pt idx="0">
                  <c:v>2013</c:v>
                </c:pt>
                <c:pt idx="1">
                  <c:v>2014</c:v>
                </c:pt>
                <c:pt idx="2">
                  <c:v>2015</c:v>
                </c:pt>
                <c:pt idx="3">
                  <c:v>2016</c:v>
                </c:pt>
                <c:pt idx="4">
                  <c:v>2017</c:v>
                </c:pt>
                <c:pt idx="5">
                  <c:v>2018</c:v>
                </c:pt>
                <c:pt idx="6">
                  <c:v>2019</c:v>
                </c:pt>
                <c:pt idx="7">
                  <c:v>2020</c:v>
                </c:pt>
              </c:numCache>
            </c:numRef>
          </c:cat>
          <c:val>
            <c:numRef>
              <c:f>Lapas1!$E$5:$E$12</c:f>
              <c:numCache>
                <c:formatCode>General</c:formatCode>
                <c:ptCount val="8"/>
                <c:pt idx="0">
                  <c:v>8531.51</c:v>
                </c:pt>
                <c:pt idx="1">
                  <c:v>9418.41</c:v>
                </c:pt>
                <c:pt idx="2">
                  <c:v>912.84</c:v>
                </c:pt>
                <c:pt idx="3">
                  <c:v>0</c:v>
                </c:pt>
                <c:pt idx="4">
                  <c:v>994.08</c:v>
                </c:pt>
                <c:pt idx="5">
                  <c:v>2424.39</c:v>
                </c:pt>
                <c:pt idx="6">
                  <c:v>4926</c:v>
                </c:pt>
                <c:pt idx="7" formatCode="#,##0.00">
                  <c:v>9189.48</c:v>
                </c:pt>
              </c:numCache>
            </c:numRef>
          </c:val>
          <c:extLst>
            <c:ext xmlns:c16="http://schemas.microsoft.com/office/drawing/2014/chart" uri="{C3380CC4-5D6E-409C-BE32-E72D297353CC}">
              <c16:uniqueId val="{00000002-65B2-40C2-89A9-3592C17268F8}"/>
            </c:ext>
          </c:extLst>
        </c:ser>
        <c:ser>
          <c:idx val="3"/>
          <c:order val="3"/>
          <c:tx>
            <c:strRef>
              <c:f>Lapas1!$F$4</c:f>
              <c:strCache>
                <c:ptCount val="1"/>
                <c:pt idx="0">
                  <c:v>Viso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Lapas1!$A$5:$A$12</c:f>
              <c:numCache>
                <c:formatCode>General</c:formatCode>
                <c:ptCount val="8"/>
                <c:pt idx="0">
                  <c:v>2013</c:v>
                </c:pt>
                <c:pt idx="1">
                  <c:v>2014</c:v>
                </c:pt>
                <c:pt idx="2">
                  <c:v>2015</c:v>
                </c:pt>
                <c:pt idx="3">
                  <c:v>2016</c:v>
                </c:pt>
                <c:pt idx="4">
                  <c:v>2017</c:v>
                </c:pt>
                <c:pt idx="5">
                  <c:v>2018</c:v>
                </c:pt>
                <c:pt idx="6">
                  <c:v>2019</c:v>
                </c:pt>
                <c:pt idx="7">
                  <c:v>2020</c:v>
                </c:pt>
              </c:numCache>
            </c:numRef>
          </c:cat>
          <c:val>
            <c:numRef>
              <c:f>Lapas1!$F$5:$F$12</c:f>
              <c:numCache>
                <c:formatCode>General</c:formatCode>
                <c:ptCount val="8"/>
                <c:pt idx="0">
                  <c:v>16513.04</c:v>
                </c:pt>
                <c:pt idx="1">
                  <c:v>17845.32</c:v>
                </c:pt>
                <c:pt idx="2">
                  <c:v>15975.93</c:v>
                </c:pt>
                <c:pt idx="3">
                  <c:v>10422.799999999999</c:v>
                </c:pt>
                <c:pt idx="4">
                  <c:v>12218.82</c:v>
                </c:pt>
                <c:pt idx="5">
                  <c:v>13176.46</c:v>
                </c:pt>
                <c:pt idx="6">
                  <c:v>20233.93</c:v>
                </c:pt>
                <c:pt idx="7">
                  <c:v>23105.739999999998</c:v>
                </c:pt>
              </c:numCache>
            </c:numRef>
          </c:val>
          <c:extLst>
            <c:ext xmlns:c16="http://schemas.microsoft.com/office/drawing/2014/chart" uri="{C3380CC4-5D6E-409C-BE32-E72D297353CC}">
              <c16:uniqueId val="{00000003-65B2-40C2-89A9-3592C17268F8}"/>
            </c:ext>
          </c:extLst>
        </c:ser>
        <c:dLbls>
          <c:dLblPos val="inEnd"/>
          <c:showLegendKey val="0"/>
          <c:showVal val="1"/>
          <c:showCatName val="0"/>
          <c:showSerName val="0"/>
          <c:showPercent val="0"/>
          <c:showBubbleSize val="0"/>
        </c:dLbls>
        <c:gapWidth val="50"/>
        <c:axId val="578312223"/>
        <c:axId val="395168335"/>
      </c:barChart>
      <c:catAx>
        <c:axId val="57831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t-LT"/>
          </a:p>
        </c:txPr>
        <c:crossAx val="395168335"/>
        <c:crosses val="autoZero"/>
        <c:auto val="1"/>
        <c:lblAlgn val="ctr"/>
        <c:lblOffset val="100"/>
        <c:noMultiLvlLbl val="0"/>
      </c:catAx>
      <c:valAx>
        <c:axId val="395168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t-LT"/>
          </a:p>
        </c:txPr>
        <c:crossAx val="578312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lt-LT" sz="1100" b="0">
                <a:latin typeface="Times New Roman" panose="02020603050405020304" pitchFamily="18" charset="0"/>
                <a:cs typeface="Times New Roman" panose="02020603050405020304" pitchFamily="18" charset="0"/>
              </a:rPr>
              <a:t>Neįgaliųjų,</a:t>
            </a:r>
            <a:r>
              <a:rPr lang="lt-LT" sz="1100" b="0" baseline="0">
                <a:latin typeface="Times New Roman" panose="02020603050405020304" pitchFamily="18" charset="0"/>
                <a:cs typeface="Times New Roman" panose="02020603050405020304" pitchFamily="18" charset="0"/>
              </a:rPr>
              <a:t> dalyvaujančių visuomeninėse organizacijose ir judėjimuose, gausėjimas, procentai</a:t>
            </a:r>
            <a:endParaRPr lang="en-US" sz="1100" b="0">
              <a:latin typeface="Times New Roman" panose="02020603050405020304" pitchFamily="18" charset="0"/>
              <a:cs typeface="Times New Roman" panose="02020603050405020304" pitchFamily="18" charset="0"/>
            </a:endParaRP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Grafikai!$C$1:$J$1</c:f>
              <c:strCache>
                <c:ptCount val="8"/>
                <c:pt idx="0">
                  <c:v>2013 m.</c:v>
                </c:pt>
                <c:pt idx="1">
                  <c:v>2014 m.</c:v>
                </c:pt>
                <c:pt idx="2">
                  <c:v>2015 m.</c:v>
                </c:pt>
                <c:pt idx="3">
                  <c:v>2016 m.</c:v>
                </c:pt>
                <c:pt idx="4">
                  <c:v>2017 m.</c:v>
                </c:pt>
                <c:pt idx="5">
                  <c:v>2018 m.</c:v>
                </c:pt>
                <c:pt idx="6">
                  <c:v>2019 m.</c:v>
                </c:pt>
                <c:pt idx="7">
                  <c:v>2020 m.</c:v>
                </c:pt>
              </c:strCache>
            </c:strRef>
          </c:cat>
          <c:val>
            <c:numRef>
              <c:f>Grafikai!$C$10:$J$10</c:f>
              <c:numCache>
                <c:formatCode>General</c:formatCode>
                <c:ptCount val="8"/>
                <c:pt idx="0">
                  <c:v>39</c:v>
                </c:pt>
                <c:pt idx="1">
                  <c:v>38.299999999999997</c:v>
                </c:pt>
                <c:pt idx="2">
                  <c:v>32</c:v>
                </c:pt>
                <c:pt idx="3">
                  <c:v>32</c:v>
                </c:pt>
                <c:pt idx="4">
                  <c:v>32</c:v>
                </c:pt>
                <c:pt idx="5">
                  <c:v>33</c:v>
                </c:pt>
                <c:pt idx="6">
                  <c:v>35.6</c:v>
                </c:pt>
                <c:pt idx="7">
                  <c:v>33.5</c:v>
                </c:pt>
              </c:numCache>
            </c:numRef>
          </c:val>
          <c:extLst>
            <c:ext xmlns:c16="http://schemas.microsoft.com/office/drawing/2014/chart" uri="{C3380CC4-5D6E-409C-BE32-E72D297353CC}">
              <c16:uniqueId val="{00000000-4220-4B54-BF32-2DDDFD6B9E78}"/>
            </c:ext>
          </c:extLst>
        </c:ser>
        <c:dLbls>
          <c:showLegendKey val="0"/>
          <c:showVal val="0"/>
          <c:showCatName val="0"/>
          <c:showSerName val="0"/>
          <c:showPercent val="0"/>
          <c:showBubbleSize val="0"/>
        </c:dLbls>
        <c:gapWidth val="150"/>
        <c:shape val="box"/>
        <c:axId val="1325990480"/>
        <c:axId val="1"/>
        <c:axId val="0"/>
      </c:bar3DChart>
      <c:catAx>
        <c:axId val="1325990480"/>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32599048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a:t>Socialinės apsaugos paslaugų poreikio patenkinimo padidėjimas, procentai</a:t>
            </a:r>
          </a:p>
        </c:rich>
      </c:tx>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5380753358909314E-2"/>
          <c:y val="0.26893874927740735"/>
          <c:w val="0.90225259578401762"/>
          <c:h val="0.64836051935225891"/>
        </c:manualLayout>
      </c:layout>
      <c:bar3DChart>
        <c:barDir val="col"/>
        <c:grouping val="clustered"/>
        <c:varyColors val="0"/>
        <c:ser>
          <c:idx val="0"/>
          <c:order val="0"/>
          <c:tx>
            <c:strRef>
              <c:f>Grafikai!$B$2</c:f>
              <c:strCache>
                <c:ptCount val="1"/>
                <c:pt idx="0">
                  <c:v>Socialinės apsaugos paslaugų poreikio patenkinimo padidėjimas, procentai</c:v>
                </c:pt>
              </c:strCache>
            </c:strRef>
          </c:tx>
          <c:spPr>
            <a:solidFill>
              <a:srgbClr val="4F81BD"/>
            </a:solidFill>
            <a:ln w="25400">
              <a:noFill/>
            </a:ln>
          </c:spPr>
          <c:invertIfNegative val="0"/>
          <c:dLbls>
            <c:spPr>
              <a:noFill/>
              <a:ln w="25400">
                <a:noFill/>
              </a:ln>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Grafikai!$C$1:$J$1</c:f>
              <c:strCache>
                <c:ptCount val="8"/>
                <c:pt idx="0">
                  <c:v>2013 m.</c:v>
                </c:pt>
                <c:pt idx="1">
                  <c:v>2014 m.</c:v>
                </c:pt>
                <c:pt idx="2">
                  <c:v>2015 m.</c:v>
                </c:pt>
                <c:pt idx="3">
                  <c:v>2016 m.</c:v>
                </c:pt>
                <c:pt idx="4">
                  <c:v>2017 m.</c:v>
                </c:pt>
                <c:pt idx="5">
                  <c:v>2018 m.</c:v>
                </c:pt>
                <c:pt idx="6">
                  <c:v>2019 m.</c:v>
                </c:pt>
                <c:pt idx="7">
                  <c:v>2020 m.</c:v>
                </c:pt>
              </c:strCache>
            </c:strRef>
          </c:cat>
          <c:val>
            <c:numRef>
              <c:f>Grafikai!$C$2:$J$2</c:f>
              <c:numCache>
                <c:formatCode>General</c:formatCode>
                <c:ptCount val="8"/>
                <c:pt idx="0">
                  <c:v>32.1</c:v>
                </c:pt>
                <c:pt idx="1">
                  <c:v>29.4</c:v>
                </c:pt>
                <c:pt idx="2">
                  <c:v>28</c:v>
                </c:pt>
                <c:pt idx="3" formatCode="0">
                  <c:v>28.673730598490003</c:v>
                </c:pt>
                <c:pt idx="4" formatCode="0">
                  <c:v>28.283643209016343</c:v>
                </c:pt>
                <c:pt idx="5" formatCode="0">
                  <c:v>23.572279343829198</c:v>
                </c:pt>
                <c:pt idx="6" formatCode="0">
                  <c:v>25.756427513036002</c:v>
                </c:pt>
                <c:pt idx="7" formatCode="0">
                  <c:v>32</c:v>
                </c:pt>
              </c:numCache>
            </c:numRef>
          </c:val>
          <c:extLst>
            <c:ext xmlns:c16="http://schemas.microsoft.com/office/drawing/2014/chart" uri="{C3380CC4-5D6E-409C-BE32-E72D297353CC}">
              <c16:uniqueId val="{00000000-85DE-4335-8B43-5A2B9501416A}"/>
            </c:ext>
          </c:extLst>
        </c:ser>
        <c:dLbls>
          <c:showLegendKey val="0"/>
          <c:showVal val="0"/>
          <c:showCatName val="0"/>
          <c:showSerName val="0"/>
          <c:showPercent val="0"/>
          <c:showBubbleSize val="0"/>
        </c:dLbls>
        <c:gapWidth val="79"/>
        <c:gapDepth val="84"/>
        <c:shape val="box"/>
        <c:axId val="140437823"/>
        <c:axId val="1"/>
        <c:axId val="0"/>
      </c:bar3DChart>
      <c:catAx>
        <c:axId val="140437823"/>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8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40437823"/>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b="0">
                <a:latin typeface="Times New Roman" panose="02020603050405020304" pitchFamily="18" charset="0"/>
                <a:cs typeface="Times New Roman" panose="02020603050405020304" pitchFamily="18" charset="0"/>
              </a:rPr>
              <a:t>Neįgaliesiems</a:t>
            </a:r>
            <a:r>
              <a:rPr lang="lt-LT" sz="1200" b="0" baseline="0">
                <a:latin typeface="Times New Roman" panose="02020603050405020304" pitchFamily="18" charset="0"/>
                <a:cs typeface="Times New Roman" panose="02020603050405020304" pitchFamily="18" charset="0"/>
              </a:rPr>
              <a:t> pritaikytų viešųjų statinių ir objektų, transporto maršrutų, priemonių ir paslaugų gausėjimas, procentai</a:t>
            </a:r>
            <a:endParaRPr lang="en-US" sz="1200" b="0">
              <a:latin typeface="Times New Roman" panose="02020603050405020304" pitchFamily="18" charset="0"/>
              <a:cs typeface="Times New Roman" panose="02020603050405020304" pitchFamily="18" charset="0"/>
            </a:endParaRPr>
          </a:p>
        </c:rich>
      </c:tx>
      <c:layout>
        <c:manualLayout>
          <c:xMode val="edge"/>
          <c:yMode val="edge"/>
          <c:x val="0.15963894480827437"/>
          <c:y val="2.2714366837024418E-2"/>
        </c:manualLayout>
      </c:layout>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095391764554021E-2"/>
          <c:y val="0.35141486810551553"/>
          <c:w val="0.90445591842003359"/>
          <c:h val="0.54691478313412267"/>
        </c:manualLayout>
      </c:layout>
      <c:bar3D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Grafikai!$C$1:$J$1</c:f>
              <c:strCache>
                <c:ptCount val="8"/>
                <c:pt idx="0">
                  <c:v>2013 m.</c:v>
                </c:pt>
                <c:pt idx="1">
                  <c:v>2014 m.</c:v>
                </c:pt>
                <c:pt idx="2">
                  <c:v>2015 m.</c:v>
                </c:pt>
                <c:pt idx="3">
                  <c:v>2016 m.</c:v>
                </c:pt>
                <c:pt idx="4">
                  <c:v>2017 m.</c:v>
                </c:pt>
                <c:pt idx="5">
                  <c:v>2018 m.</c:v>
                </c:pt>
                <c:pt idx="6">
                  <c:v>2019 m.</c:v>
                </c:pt>
                <c:pt idx="7">
                  <c:v>2020 m.</c:v>
                </c:pt>
              </c:strCache>
            </c:strRef>
          </c:cat>
          <c:val>
            <c:numRef>
              <c:f>Grafikai!$C$3:$J$3</c:f>
              <c:numCache>
                <c:formatCode>General</c:formatCode>
                <c:ptCount val="8"/>
                <c:pt idx="0">
                  <c:v>16.47</c:v>
                </c:pt>
                <c:pt idx="1">
                  <c:v>18</c:v>
                </c:pt>
                <c:pt idx="2">
                  <c:v>20.100000000000001</c:v>
                </c:pt>
                <c:pt idx="3">
                  <c:v>21.5</c:v>
                </c:pt>
                <c:pt idx="4">
                  <c:v>23.26</c:v>
                </c:pt>
                <c:pt idx="5">
                  <c:v>25.53</c:v>
                </c:pt>
                <c:pt idx="6">
                  <c:v>28.14</c:v>
                </c:pt>
                <c:pt idx="7">
                  <c:v>30.82</c:v>
                </c:pt>
              </c:numCache>
            </c:numRef>
          </c:val>
          <c:extLst>
            <c:ext xmlns:c16="http://schemas.microsoft.com/office/drawing/2014/chart" uri="{C3380CC4-5D6E-409C-BE32-E72D297353CC}">
              <c16:uniqueId val="{00000000-EC25-49C6-96CB-726D1F6E674A}"/>
            </c:ext>
          </c:extLst>
        </c:ser>
        <c:dLbls>
          <c:showLegendKey val="0"/>
          <c:showVal val="0"/>
          <c:showCatName val="0"/>
          <c:showSerName val="0"/>
          <c:showPercent val="0"/>
          <c:showBubbleSize val="0"/>
        </c:dLbls>
        <c:gapWidth val="150"/>
        <c:shape val="box"/>
        <c:axId val="140434911"/>
        <c:axId val="1"/>
        <c:axId val="0"/>
      </c:bar3DChart>
      <c:catAx>
        <c:axId val="140434911"/>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40434911"/>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b="0">
                <a:latin typeface="Times New Roman" panose="02020603050405020304" pitchFamily="18" charset="0"/>
                <a:cs typeface="Times New Roman" panose="02020603050405020304" pitchFamily="18" charset="0"/>
              </a:rPr>
              <a:t>Regėjimo,</a:t>
            </a:r>
            <a:r>
              <a:rPr lang="lt-LT" sz="1200" b="0" baseline="0">
                <a:latin typeface="Times New Roman" panose="02020603050405020304" pitchFamily="18" charset="0"/>
                <a:cs typeface="Times New Roman" panose="02020603050405020304" pitchFamily="18" charset="0"/>
              </a:rPr>
              <a:t> klausos, sutrikusio intelekto negalių turintiems asmenims viešosios informacinės aplinkos prieinamumo didėjimas, procentai</a:t>
            </a:r>
            <a:endParaRPr lang="en-US" sz="1200" b="0">
              <a:latin typeface="Times New Roman" panose="02020603050405020304" pitchFamily="18" charset="0"/>
              <a:cs typeface="Times New Roman" panose="02020603050405020304" pitchFamily="18" charset="0"/>
            </a:endParaRPr>
          </a:p>
        </c:rich>
      </c:tx>
      <c:layout>
        <c:manualLayout>
          <c:xMode val="edge"/>
          <c:yMode val="edge"/>
          <c:x val="0.12305774278215223"/>
          <c:y val="1.8214936247723135E-2"/>
        </c:manualLayout>
      </c:layout>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Grafikai!$C$1:$J$1</c:f>
              <c:strCache>
                <c:ptCount val="8"/>
                <c:pt idx="0">
                  <c:v>2013 m.</c:v>
                </c:pt>
                <c:pt idx="1">
                  <c:v>2014 m.</c:v>
                </c:pt>
                <c:pt idx="2">
                  <c:v>2015 m.</c:v>
                </c:pt>
                <c:pt idx="3">
                  <c:v>2016 m.</c:v>
                </c:pt>
                <c:pt idx="4">
                  <c:v>2017 m.</c:v>
                </c:pt>
                <c:pt idx="5">
                  <c:v>2018 m.</c:v>
                </c:pt>
                <c:pt idx="6">
                  <c:v>2019 m.</c:v>
                </c:pt>
                <c:pt idx="7">
                  <c:v>2020 m.</c:v>
                </c:pt>
              </c:strCache>
            </c:strRef>
          </c:cat>
          <c:val>
            <c:numRef>
              <c:f>Grafikai!$C$4:$J$4</c:f>
              <c:numCache>
                <c:formatCode>General</c:formatCode>
                <c:ptCount val="8"/>
                <c:pt idx="0">
                  <c:v>13.8</c:v>
                </c:pt>
                <c:pt idx="1">
                  <c:v>6.6</c:v>
                </c:pt>
                <c:pt idx="2">
                  <c:v>6.2</c:v>
                </c:pt>
                <c:pt idx="3">
                  <c:v>5.9</c:v>
                </c:pt>
                <c:pt idx="4">
                  <c:v>6.3</c:v>
                </c:pt>
                <c:pt idx="5">
                  <c:v>10</c:v>
                </c:pt>
                <c:pt idx="6">
                  <c:v>14.96</c:v>
                </c:pt>
                <c:pt idx="7">
                  <c:v>17.559999999999999</c:v>
                </c:pt>
              </c:numCache>
            </c:numRef>
          </c:val>
          <c:extLst>
            <c:ext xmlns:c16="http://schemas.microsoft.com/office/drawing/2014/chart" uri="{C3380CC4-5D6E-409C-BE32-E72D297353CC}">
              <c16:uniqueId val="{00000000-7C40-4B1E-816D-33264F0B44E7}"/>
            </c:ext>
          </c:extLst>
        </c:ser>
        <c:dLbls>
          <c:showLegendKey val="0"/>
          <c:showVal val="0"/>
          <c:showCatName val="0"/>
          <c:showSerName val="0"/>
          <c:showPercent val="0"/>
          <c:showBubbleSize val="0"/>
        </c:dLbls>
        <c:gapWidth val="150"/>
        <c:shape val="box"/>
        <c:axId val="140436159"/>
        <c:axId val="1"/>
        <c:axId val="0"/>
      </c:bar3DChart>
      <c:catAx>
        <c:axId val="140436159"/>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40436159"/>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b="0">
                <a:latin typeface="Times New Roman" panose="02020603050405020304" pitchFamily="18" charset="0"/>
                <a:cs typeface="Times New Roman" panose="02020603050405020304" pitchFamily="18" charset="0"/>
              </a:rPr>
              <a:t>Asmenų,</a:t>
            </a:r>
            <a:r>
              <a:rPr lang="lt-LT" sz="1200" b="0" baseline="0">
                <a:latin typeface="Times New Roman" panose="02020603050405020304" pitchFamily="18" charset="0"/>
                <a:cs typeface="Times New Roman" panose="02020603050405020304" pitchFamily="18" charset="0"/>
              </a:rPr>
              <a:t> tapusių neįgaliais dėl regėjimo ir judėjimo funkcijų sutrikimų, savarankiškumo ir mobilumo didėjimas, procentai</a:t>
            </a:r>
            <a:endParaRPr lang="en-US" sz="1200" b="0">
              <a:latin typeface="Times New Roman" panose="02020603050405020304" pitchFamily="18" charset="0"/>
              <a:cs typeface="Times New Roman" panose="02020603050405020304" pitchFamily="18" charset="0"/>
            </a:endParaRP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Grafikai!$C$1:$J$1</c:f>
              <c:strCache>
                <c:ptCount val="8"/>
                <c:pt idx="0">
                  <c:v>2013 m.</c:v>
                </c:pt>
                <c:pt idx="1">
                  <c:v>2014 m.</c:v>
                </c:pt>
                <c:pt idx="2">
                  <c:v>2015 m.</c:v>
                </c:pt>
                <c:pt idx="3">
                  <c:v>2016 m.</c:v>
                </c:pt>
                <c:pt idx="4">
                  <c:v>2017 m.</c:v>
                </c:pt>
                <c:pt idx="5">
                  <c:v>2018 m.</c:v>
                </c:pt>
                <c:pt idx="6">
                  <c:v>2019 m.</c:v>
                </c:pt>
                <c:pt idx="7">
                  <c:v>2020 m.</c:v>
                </c:pt>
              </c:strCache>
            </c:strRef>
          </c:cat>
          <c:val>
            <c:numRef>
              <c:f>Grafikai!$C$5:$J$5</c:f>
              <c:numCache>
                <c:formatCode>General</c:formatCode>
                <c:ptCount val="8"/>
                <c:pt idx="0">
                  <c:v>12.8</c:v>
                </c:pt>
                <c:pt idx="1">
                  <c:v>13</c:v>
                </c:pt>
                <c:pt idx="2">
                  <c:v>13.8</c:v>
                </c:pt>
                <c:pt idx="3">
                  <c:v>13.6</c:v>
                </c:pt>
                <c:pt idx="4">
                  <c:v>13.65</c:v>
                </c:pt>
                <c:pt idx="5">
                  <c:v>16.5</c:v>
                </c:pt>
                <c:pt idx="6">
                  <c:v>16.899999999999999</c:v>
                </c:pt>
                <c:pt idx="7">
                  <c:v>16.899999999999999</c:v>
                </c:pt>
              </c:numCache>
            </c:numRef>
          </c:val>
          <c:extLst>
            <c:ext xmlns:c16="http://schemas.microsoft.com/office/drawing/2014/chart" uri="{C3380CC4-5D6E-409C-BE32-E72D297353CC}">
              <c16:uniqueId val="{00000000-C360-490D-A1BF-AA2CB1CC63E9}"/>
            </c:ext>
          </c:extLst>
        </c:ser>
        <c:dLbls>
          <c:showLegendKey val="0"/>
          <c:showVal val="0"/>
          <c:showCatName val="0"/>
          <c:showSerName val="0"/>
          <c:showPercent val="0"/>
          <c:showBubbleSize val="0"/>
        </c:dLbls>
        <c:gapWidth val="150"/>
        <c:shape val="box"/>
        <c:axId val="140436575"/>
        <c:axId val="1"/>
        <c:axId val="0"/>
      </c:bar3DChart>
      <c:catAx>
        <c:axId val="140436575"/>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40436575"/>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b="0">
                <a:latin typeface="Times New Roman" panose="02020603050405020304" pitchFamily="18" charset="0"/>
                <a:cs typeface="Times New Roman" panose="02020603050405020304" pitchFamily="18" charset="0"/>
              </a:rPr>
              <a:t>Neįgaliųjų</a:t>
            </a:r>
            <a:r>
              <a:rPr lang="lt-LT" sz="1200" b="0" baseline="0">
                <a:latin typeface="Times New Roman" panose="02020603050405020304" pitchFamily="18" charset="0"/>
                <a:cs typeface="Times New Roman" panose="02020603050405020304" pitchFamily="18" charset="0"/>
              </a:rPr>
              <a:t> užimtumo darbo rinkoje didėjimas, procentai</a:t>
            </a:r>
            <a:endParaRPr lang="en-US" sz="1200" b="0">
              <a:latin typeface="Times New Roman" panose="02020603050405020304" pitchFamily="18" charset="0"/>
              <a:cs typeface="Times New Roman" panose="02020603050405020304" pitchFamily="18" charset="0"/>
            </a:endParaRP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Grafikai!$C$1:$J$1</c:f>
              <c:strCache>
                <c:ptCount val="8"/>
                <c:pt idx="0">
                  <c:v>2013 m.</c:v>
                </c:pt>
                <c:pt idx="1">
                  <c:v>2014 m.</c:v>
                </c:pt>
                <c:pt idx="2">
                  <c:v>2015 m.</c:v>
                </c:pt>
                <c:pt idx="3">
                  <c:v>2016 m.</c:v>
                </c:pt>
                <c:pt idx="4">
                  <c:v>2017 m.</c:v>
                </c:pt>
                <c:pt idx="5">
                  <c:v>2018 m.</c:v>
                </c:pt>
                <c:pt idx="6">
                  <c:v>2019 m.</c:v>
                </c:pt>
                <c:pt idx="7">
                  <c:v>2020 m.</c:v>
                </c:pt>
              </c:strCache>
            </c:strRef>
          </c:cat>
          <c:val>
            <c:numRef>
              <c:f>Grafikai!$C$6:$J$6</c:f>
              <c:numCache>
                <c:formatCode>General</c:formatCode>
                <c:ptCount val="8"/>
                <c:pt idx="0">
                  <c:v>27.4</c:v>
                </c:pt>
                <c:pt idx="1">
                  <c:v>28</c:v>
                </c:pt>
                <c:pt idx="2">
                  <c:v>28.8</c:v>
                </c:pt>
                <c:pt idx="3">
                  <c:v>29.45</c:v>
                </c:pt>
                <c:pt idx="4">
                  <c:v>29</c:v>
                </c:pt>
                <c:pt idx="5">
                  <c:v>30</c:v>
                </c:pt>
                <c:pt idx="6">
                  <c:v>29</c:v>
                </c:pt>
                <c:pt idx="7">
                  <c:v>28.52</c:v>
                </c:pt>
              </c:numCache>
            </c:numRef>
          </c:val>
          <c:extLst>
            <c:ext xmlns:c16="http://schemas.microsoft.com/office/drawing/2014/chart" uri="{C3380CC4-5D6E-409C-BE32-E72D297353CC}">
              <c16:uniqueId val="{00000000-FA01-433D-9635-9DDCEAF7B42A}"/>
            </c:ext>
          </c:extLst>
        </c:ser>
        <c:dLbls>
          <c:showLegendKey val="0"/>
          <c:showVal val="0"/>
          <c:showCatName val="0"/>
          <c:showSerName val="0"/>
          <c:showPercent val="0"/>
          <c:showBubbleSize val="0"/>
        </c:dLbls>
        <c:gapWidth val="150"/>
        <c:shape val="box"/>
        <c:axId val="140771615"/>
        <c:axId val="1"/>
        <c:axId val="0"/>
      </c:bar3DChart>
      <c:catAx>
        <c:axId val="140771615"/>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40771615"/>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b="0">
                <a:latin typeface="Times New Roman" panose="02020603050405020304" pitchFamily="18" charset="0"/>
                <a:cs typeface="Times New Roman" panose="02020603050405020304" pitchFamily="18" charset="0"/>
              </a:rPr>
              <a:t>Neįgaliųjų,</a:t>
            </a:r>
            <a:r>
              <a:rPr lang="lt-LT" sz="1200" b="0" baseline="0">
                <a:latin typeface="Times New Roman" panose="02020603050405020304" pitchFamily="18" charset="0"/>
                <a:cs typeface="Times New Roman" panose="02020603050405020304" pitchFamily="18" charset="0"/>
              </a:rPr>
              <a:t> užimtų kultūros veiklose didėjimas, procentai</a:t>
            </a:r>
            <a:endParaRPr lang="en-US" sz="1200" b="0">
              <a:latin typeface="Times New Roman" panose="02020603050405020304" pitchFamily="18" charset="0"/>
              <a:cs typeface="Times New Roman" panose="02020603050405020304" pitchFamily="18" charset="0"/>
            </a:endParaRP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Grafikai!$C$1:$J$1</c:f>
              <c:strCache>
                <c:ptCount val="8"/>
                <c:pt idx="0">
                  <c:v>2013 m.</c:v>
                </c:pt>
                <c:pt idx="1">
                  <c:v>2014 m.</c:v>
                </c:pt>
                <c:pt idx="2">
                  <c:v>2015 m.</c:v>
                </c:pt>
                <c:pt idx="3">
                  <c:v>2016 m.</c:v>
                </c:pt>
                <c:pt idx="4">
                  <c:v>2017 m.</c:v>
                </c:pt>
                <c:pt idx="5">
                  <c:v>2018 m.</c:v>
                </c:pt>
                <c:pt idx="6">
                  <c:v>2019 m.</c:v>
                </c:pt>
                <c:pt idx="7">
                  <c:v>2020 m.</c:v>
                </c:pt>
              </c:strCache>
            </c:strRef>
          </c:cat>
          <c:val>
            <c:numRef>
              <c:f>Grafikai!$C$7:$J$7</c:f>
              <c:numCache>
                <c:formatCode>General</c:formatCode>
                <c:ptCount val="8"/>
                <c:pt idx="0">
                  <c:v>5.9</c:v>
                </c:pt>
                <c:pt idx="1">
                  <c:v>5.8</c:v>
                </c:pt>
                <c:pt idx="2">
                  <c:v>6.1</c:v>
                </c:pt>
                <c:pt idx="3">
                  <c:v>5.6</c:v>
                </c:pt>
                <c:pt idx="4">
                  <c:v>4.8</c:v>
                </c:pt>
                <c:pt idx="5">
                  <c:v>5.0999999999999996</c:v>
                </c:pt>
                <c:pt idx="6">
                  <c:v>4.7300000000000004</c:v>
                </c:pt>
                <c:pt idx="7">
                  <c:v>3.95</c:v>
                </c:pt>
              </c:numCache>
            </c:numRef>
          </c:val>
          <c:extLst>
            <c:ext xmlns:c16="http://schemas.microsoft.com/office/drawing/2014/chart" uri="{C3380CC4-5D6E-409C-BE32-E72D297353CC}">
              <c16:uniqueId val="{00000000-4824-467F-A4A4-7514C467BD51}"/>
            </c:ext>
          </c:extLst>
        </c:ser>
        <c:dLbls>
          <c:showLegendKey val="0"/>
          <c:showVal val="0"/>
          <c:showCatName val="0"/>
          <c:showSerName val="0"/>
          <c:showPercent val="0"/>
          <c:showBubbleSize val="0"/>
        </c:dLbls>
        <c:gapWidth val="150"/>
        <c:shape val="box"/>
        <c:axId val="140773279"/>
        <c:axId val="1"/>
        <c:axId val="0"/>
      </c:bar3DChart>
      <c:catAx>
        <c:axId val="140773279"/>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40773279"/>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b="0">
                <a:latin typeface="Times New Roman" panose="02020603050405020304" pitchFamily="18" charset="0"/>
                <a:cs typeface="Times New Roman" panose="02020603050405020304" pitchFamily="18" charset="0"/>
              </a:rPr>
              <a:t>Neįgaliųjų</a:t>
            </a:r>
            <a:r>
              <a:rPr lang="lt-LT" sz="1200" b="0" baseline="0">
                <a:latin typeface="Times New Roman" panose="02020603050405020304" pitchFamily="18" charset="0"/>
                <a:cs typeface="Times New Roman" panose="02020603050405020304" pitchFamily="18" charset="0"/>
              </a:rPr>
              <a:t> užimtumo sporto veikloje didėjimas, procentai</a:t>
            </a:r>
            <a:endParaRPr lang="en-US" sz="1200" b="0">
              <a:latin typeface="Times New Roman" panose="02020603050405020304" pitchFamily="18" charset="0"/>
              <a:cs typeface="Times New Roman" panose="02020603050405020304" pitchFamily="18" charset="0"/>
            </a:endParaRP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Grafikai!$C$1:$J$1</c:f>
              <c:strCache>
                <c:ptCount val="8"/>
                <c:pt idx="0">
                  <c:v>2013 m.</c:v>
                </c:pt>
                <c:pt idx="1">
                  <c:v>2014 m.</c:v>
                </c:pt>
                <c:pt idx="2">
                  <c:v>2015 m.</c:v>
                </c:pt>
                <c:pt idx="3">
                  <c:v>2016 m.</c:v>
                </c:pt>
                <c:pt idx="4">
                  <c:v>2017 m.</c:v>
                </c:pt>
                <c:pt idx="5">
                  <c:v>2018 m.</c:v>
                </c:pt>
                <c:pt idx="6">
                  <c:v>2019 m.</c:v>
                </c:pt>
                <c:pt idx="7">
                  <c:v>2020 m.</c:v>
                </c:pt>
              </c:strCache>
            </c:strRef>
          </c:cat>
          <c:val>
            <c:numRef>
              <c:f>Grafikai!$C$8:$J$8</c:f>
              <c:numCache>
                <c:formatCode>General</c:formatCode>
                <c:ptCount val="8"/>
                <c:pt idx="0">
                  <c:v>2</c:v>
                </c:pt>
                <c:pt idx="1">
                  <c:v>2.4</c:v>
                </c:pt>
                <c:pt idx="2">
                  <c:v>2.4</c:v>
                </c:pt>
                <c:pt idx="3">
                  <c:v>2.5</c:v>
                </c:pt>
                <c:pt idx="4">
                  <c:v>2.5</c:v>
                </c:pt>
                <c:pt idx="5">
                  <c:v>2.59</c:v>
                </c:pt>
                <c:pt idx="6">
                  <c:v>2.65</c:v>
                </c:pt>
                <c:pt idx="7">
                  <c:v>1.39</c:v>
                </c:pt>
              </c:numCache>
            </c:numRef>
          </c:val>
          <c:extLst>
            <c:ext xmlns:c16="http://schemas.microsoft.com/office/drawing/2014/chart" uri="{C3380CC4-5D6E-409C-BE32-E72D297353CC}">
              <c16:uniqueId val="{00000000-FB90-4C12-8161-994ED87503FD}"/>
            </c:ext>
          </c:extLst>
        </c:ser>
        <c:dLbls>
          <c:showLegendKey val="0"/>
          <c:showVal val="0"/>
          <c:showCatName val="0"/>
          <c:showSerName val="0"/>
          <c:showPercent val="0"/>
          <c:showBubbleSize val="0"/>
        </c:dLbls>
        <c:gapWidth val="150"/>
        <c:shape val="box"/>
        <c:axId val="140772031"/>
        <c:axId val="1"/>
        <c:axId val="0"/>
      </c:bar3DChart>
      <c:catAx>
        <c:axId val="140772031"/>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40772031"/>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100" b="0">
                <a:latin typeface="Times New Roman" panose="02020603050405020304" pitchFamily="18" charset="0"/>
                <a:cs typeface="Times New Roman" panose="02020603050405020304" pitchFamily="18" charset="0"/>
              </a:rPr>
              <a:t>Visuomenės</a:t>
            </a:r>
            <a:r>
              <a:rPr lang="lt-LT" sz="1100" b="0" baseline="0">
                <a:latin typeface="Times New Roman" panose="02020603050405020304" pitchFamily="18" charset="0"/>
                <a:cs typeface="Times New Roman" panose="02020603050405020304" pitchFamily="18" charset="0"/>
              </a:rPr>
              <a:t> nuomonė dėl neįgaliųjų diskriminacijos, balai</a:t>
            </a:r>
            <a:endParaRPr lang="en-US" sz="1100" b="0">
              <a:latin typeface="Times New Roman" panose="02020603050405020304" pitchFamily="18" charset="0"/>
              <a:cs typeface="Times New Roman" panose="02020603050405020304" pitchFamily="18" charset="0"/>
            </a:endParaRP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clip" horzOverflow="clip" vert="horz" wrap="square" lIns="38100" tIns="7200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Grafikai!$C$1:$J$1</c:f>
              <c:strCache>
                <c:ptCount val="8"/>
                <c:pt idx="0">
                  <c:v>2013 m.</c:v>
                </c:pt>
                <c:pt idx="1">
                  <c:v>2014 m.</c:v>
                </c:pt>
                <c:pt idx="2">
                  <c:v>2015 m.</c:v>
                </c:pt>
                <c:pt idx="3">
                  <c:v>2016 m.</c:v>
                </c:pt>
                <c:pt idx="4">
                  <c:v>2017 m.</c:v>
                </c:pt>
                <c:pt idx="5">
                  <c:v>2018 m.</c:v>
                </c:pt>
                <c:pt idx="6">
                  <c:v>2019 m.</c:v>
                </c:pt>
                <c:pt idx="7">
                  <c:v>2020 m.</c:v>
                </c:pt>
              </c:strCache>
            </c:strRef>
          </c:cat>
          <c:val>
            <c:numRef>
              <c:f>Grafikai!$C$9:$J$9</c:f>
              <c:numCache>
                <c:formatCode>General</c:formatCode>
                <c:ptCount val="8"/>
                <c:pt idx="0">
                  <c:v>5.03</c:v>
                </c:pt>
                <c:pt idx="1">
                  <c:v>4.8</c:v>
                </c:pt>
                <c:pt idx="3">
                  <c:v>5.21</c:v>
                </c:pt>
                <c:pt idx="5">
                  <c:v>5.21</c:v>
                </c:pt>
                <c:pt idx="7">
                  <c:v>5.57</c:v>
                </c:pt>
              </c:numCache>
            </c:numRef>
          </c:val>
          <c:extLst>
            <c:ext xmlns:c16="http://schemas.microsoft.com/office/drawing/2014/chart" uri="{C3380CC4-5D6E-409C-BE32-E72D297353CC}">
              <c16:uniqueId val="{00000000-6465-4E36-AB7F-5CE68B5E090B}"/>
            </c:ext>
          </c:extLst>
        </c:ser>
        <c:dLbls>
          <c:showLegendKey val="0"/>
          <c:showVal val="0"/>
          <c:showCatName val="0"/>
          <c:showSerName val="0"/>
          <c:showPercent val="0"/>
          <c:showBubbleSize val="0"/>
        </c:dLbls>
        <c:gapWidth val="38"/>
        <c:shape val="box"/>
        <c:axId val="140773695"/>
        <c:axId val="1"/>
        <c:axId val="0"/>
      </c:bar3DChart>
      <c:catAx>
        <c:axId val="140773695"/>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40773695"/>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0.39975</cdr:x>
      <cdr:y>0.33482</cdr:y>
    </cdr:from>
    <cdr:to>
      <cdr:x>0.60025</cdr:x>
      <cdr:y>0.66518</cdr:y>
    </cdr:to>
    <cdr:sp macro="" textlink="">
      <cdr:nvSpPr>
        <cdr:cNvPr id="2" name="TextBox 1">
          <a:extLst xmlns:a="http://schemas.openxmlformats.org/drawingml/2006/main">
            <a:ext uri="{FF2B5EF4-FFF2-40B4-BE49-F238E27FC236}">
              <a16:creationId xmlns:a16="http://schemas.microsoft.com/office/drawing/2014/main" id="{F4515530-A83A-4D85-952D-F7E5705E84CB}"/>
            </a:ext>
          </a:extLst>
        </cdr:cNvPr>
        <cdr:cNvSpPr txBox="1"/>
      </cdr:nvSpPr>
      <cdr:spPr>
        <a:xfrm xmlns:a="http://schemas.openxmlformats.org/drawingml/2006/main">
          <a:off x="1823085" y="926782"/>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0.03757</cdr:x>
      <cdr:y>0.03375</cdr:y>
    </cdr:from>
    <cdr:to>
      <cdr:x>0.18795</cdr:x>
      <cdr:y>0.18172</cdr:y>
    </cdr:to>
    <cdr:sp macro="" textlink="">
      <cdr:nvSpPr>
        <cdr:cNvPr id="3" name="TextBox 2">
          <a:extLst xmlns:a="http://schemas.openxmlformats.org/drawingml/2006/main">
            <a:ext uri="{FF2B5EF4-FFF2-40B4-BE49-F238E27FC236}">
              <a16:creationId xmlns:a16="http://schemas.microsoft.com/office/drawing/2014/main" id="{E00B4B45-594A-45F4-B91D-667DEF3D5785}"/>
            </a:ext>
          </a:extLst>
        </cdr:cNvPr>
        <cdr:cNvSpPr txBox="1"/>
      </cdr:nvSpPr>
      <cdr:spPr>
        <a:xfrm xmlns:a="http://schemas.openxmlformats.org/drawingml/2006/main">
          <a:off x="171497" y="93282"/>
          <a:ext cx="686374" cy="4090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400" b="1">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0.02576</cdr:x>
      <cdr:y>0.01394</cdr:y>
    </cdr:from>
    <cdr:to>
      <cdr:x>0.12547</cdr:x>
      <cdr:y>0.16835</cdr:y>
    </cdr:to>
    <cdr:sp macro="" textlink="">
      <cdr:nvSpPr>
        <cdr:cNvPr id="2" name="TextBox 1">
          <a:extLst xmlns:a="http://schemas.openxmlformats.org/drawingml/2006/main">
            <a:ext uri="{FF2B5EF4-FFF2-40B4-BE49-F238E27FC236}">
              <a16:creationId xmlns:a16="http://schemas.microsoft.com/office/drawing/2014/main" id="{1EA379E6-46FF-4BA0-90A3-FE5C1119614C}"/>
            </a:ext>
          </a:extLst>
        </cdr:cNvPr>
        <cdr:cNvSpPr txBox="1"/>
      </cdr:nvSpPr>
      <cdr:spPr>
        <a:xfrm xmlns:a="http://schemas.openxmlformats.org/drawingml/2006/main">
          <a:off x="118151" y="36092"/>
          <a:ext cx="457390" cy="3997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400" b="1">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0.02119</cdr:x>
      <cdr:y>0.02801</cdr:y>
    </cdr:from>
    <cdr:to>
      <cdr:x>0.12076</cdr:x>
      <cdr:y>0.23292</cdr:y>
    </cdr:to>
    <cdr:sp macro="" textlink="">
      <cdr:nvSpPr>
        <cdr:cNvPr id="2" name="TextBox 1">
          <a:extLst xmlns:a="http://schemas.openxmlformats.org/drawingml/2006/main">
            <a:ext uri="{FF2B5EF4-FFF2-40B4-BE49-F238E27FC236}">
              <a16:creationId xmlns:a16="http://schemas.microsoft.com/office/drawing/2014/main" id="{DF01E23B-ADB7-48B6-8AEE-B74EB48CB586}"/>
            </a:ext>
          </a:extLst>
        </cdr:cNvPr>
        <cdr:cNvSpPr txBox="1"/>
      </cdr:nvSpPr>
      <cdr:spPr>
        <a:xfrm xmlns:a="http://schemas.openxmlformats.org/drawingml/2006/main">
          <a:off x="95250" y="78106"/>
          <a:ext cx="447675"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400" b="1">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0.01125</cdr:x>
      <cdr:y>0.02426</cdr:y>
    </cdr:from>
    <cdr:to>
      <cdr:x>0.12792</cdr:x>
      <cdr:y>0.20097</cdr:y>
    </cdr:to>
    <cdr:sp macro="" textlink="">
      <cdr:nvSpPr>
        <cdr:cNvPr id="2" name="TextBox 1">
          <a:extLst xmlns:a="http://schemas.openxmlformats.org/drawingml/2006/main">
            <a:ext uri="{FF2B5EF4-FFF2-40B4-BE49-F238E27FC236}">
              <a16:creationId xmlns:a16="http://schemas.microsoft.com/office/drawing/2014/main" id="{D043D65C-64DD-41B5-AF30-C271A741A588}"/>
            </a:ext>
          </a:extLst>
        </cdr:cNvPr>
        <cdr:cNvSpPr txBox="1"/>
      </cdr:nvSpPr>
      <cdr:spPr>
        <a:xfrm xmlns:a="http://schemas.openxmlformats.org/drawingml/2006/main">
          <a:off x="51435" y="66675"/>
          <a:ext cx="533400" cy="485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400" b="1">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0.02479</cdr:x>
      <cdr:y>0.02213</cdr:y>
    </cdr:from>
    <cdr:to>
      <cdr:x>0.14469</cdr:x>
      <cdr:y>0.17082</cdr:y>
    </cdr:to>
    <cdr:sp macro="" textlink="">
      <cdr:nvSpPr>
        <cdr:cNvPr id="2" name="TextBox 1">
          <a:extLst xmlns:a="http://schemas.openxmlformats.org/drawingml/2006/main">
            <a:ext uri="{FF2B5EF4-FFF2-40B4-BE49-F238E27FC236}">
              <a16:creationId xmlns:a16="http://schemas.microsoft.com/office/drawing/2014/main" id="{0CBBD1E9-1722-4342-984D-C2FF195FE477}"/>
            </a:ext>
          </a:extLst>
        </cdr:cNvPr>
        <cdr:cNvSpPr txBox="1"/>
      </cdr:nvSpPr>
      <cdr:spPr>
        <a:xfrm xmlns:a="http://schemas.openxmlformats.org/drawingml/2006/main">
          <a:off x="112441" y="60961"/>
          <a:ext cx="543838" cy="4095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400" b="1">
            <a:latin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0.01429</cdr:x>
      <cdr:y>0.02125</cdr:y>
    </cdr:from>
    <cdr:to>
      <cdr:x>0.12779</cdr:x>
      <cdr:y>0.15147</cdr:y>
    </cdr:to>
    <cdr:sp macro="" textlink="">
      <cdr:nvSpPr>
        <cdr:cNvPr id="2" name="TextBox 1">
          <a:extLst xmlns:a="http://schemas.openxmlformats.org/drawingml/2006/main">
            <a:ext uri="{FF2B5EF4-FFF2-40B4-BE49-F238E27FC236}">
              <a16:creationId xmlns:a16="http://schemas.microsoft.com/office/drawing/2014/main" id="{6B72C368-F978-441A-9D66-39273EFB3BB2}"/>
            </a:ext>
          </a:extLst>
        </cdr:cNvPr>
        <cdr:cNvSpPr txBox="1"/>
      </cdr:nvSpPr>
      <cdr:spPr>
        <a:xfrm xmlns:a="http://schemas.openxmlformats.org/drawingml/2006/main">
          <a:off x="64771" y="59056"/>
          <a:ext cx="514350" cy="361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400" b="1">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0.03313</cdr:x>
      <cdr:y>0.01725</cdr:y>
    </cdr:from>
    <cdr:to>
      <cdr:x>0.1456</cdr:x>
      <cdr:y>0.14838</cdr:y>
    </cdr:to>
    <cdr:sp macro="" textlink="">
      <cdr:nvSpPr>
        <cdr:cNvPr id="2" name="TextBox 1">
          <a:extLst xmlns:a="http://schemas.openxmlformats.org/drawingml/2006/main">
            <a:ext uri="{FF2B5EF4-FFF2-40B4-BE49-F238E27FC236}">
              <a16:creationId xmlns:a16="http://schemas.microsoft.com/office/drawing/2014/main" id="{72808582-4F85-41A4-A583-13B2E989AE76}"/>
            </a:ext>
          </a:extLst>
        </cdr:cNvPr>
        <cdr:cNvSpPr txBox="1"/>
      </cdr:nvSpPr>
      <cdr:spPr>
        <a:xfrm xmlns:a="http://schemas.openxmlformats.org/drawingml/2006/main">
          <a:off x="154304" y="47626"/>
          <a:ext cx="523875" cy="361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400" b="1">
            <a:latin typeface="Times New Roman" panose="02020603050405020304" pitchFamily="18" charset="0"/>
            <a:cs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0.03549</cdr:x>
      <cdr:y>0.02519</cdr:y>
    </cdr:from>
    <cdr:to>
      <cdr:x>0.13688</cdr:x>
      <cdr:y>0.17215</cdr:y>
    </cdr:to>
    <cdr:sp macro="" textlink="">
      <cdr:nvSpPr>
        <cdr:cNvPr id="2" name="TextBox 1">
          <a:extLst xmlns:a="http://schemas.openxmlformats.org/drawingml/2006/main">
            <a:ext uri="{FF2B5EF4-FFF2-40B4-BE49-F238E27FC236}">
              <a16:creationId xmlns:a16="http://schemas.microsoft.com/office/drawing/2014/main" id="{578F4BC2-8B85-44F2-8807-3E552F4924B8}"/>
            </a:ext>
          </a:extLst>
        </cdr:cNvPr>
        <cdr:cNvSpPr txBox="1"/>
      </cdr:nvSpPr>
      <cdr:spPr>
        <a:xfrm xmlns:a="http://schemas.openxmlformats.org/drawingml/2006/main">
          <a:off x="160020" y="68580"/>
          <a:ext cx="457200"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400" b="1">
            <a:latin typeface="Times New Roman" panose="02020603050405020304" pitchFamily="18" charset="0"/>
            <a:cs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0.02521</cdr:x>
      <cdr:y>0.01848</cdr:y>
    </cdr:from>
    <cdr:to>
      <cdr:x>0.13609</cdr:x>
      <cdr:y>0.1644</cdr:y>
    </cdr:to>
    <cdr:sp macro="" textlink="">
      <cdr:nvSpPr>
        <cdr:cNvPr id="2" name="TextBox 1"/>
        <cdr:cNvSpPr txBox="1"/>
      </cdr:nvSpPr>
      <cdr:spPr>
        <a:xfrm xmlns:a="http://schemas.openxmlformats.org/drawingml/2006/main">
          <a:off x="112396" y="57150"/>
          <a:ext cx="495300"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4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852F-9EE0-40B7-9ECA-73FBB341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13111</Words>
  <Characters>7474</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Jablonskienė</dc:creator>
  <cp:lastModifiedBy>Emilija Jankauskaitė</cp:lastModifiedBy>
  <cp:revision>3</cp:revision>
  <cp:lastPrinted>2014-02-05T12:41:00Z</cp:lastPrinted>
  <dcterms:created xsi:type="dcterms:W3CDTF">2021-08-06T08:32:00Z</dcterms:created>
  <dcterms:modified xsi:type="dcterms:W3CDTF">2022-01-12T08:26:00Z</dcterms:modified>
</cp:coreProperties>
</file>