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B4" w:rsidRPr="00173BB4" w:rsidRDefault="00173BB4" w:rsidP="004456A6">
      <w:pPr>
        <w:tabs>
          <w:tab w:val="left" w:pos="7740"/>
          <w:tab w:val="right" w:pos="8640"/>
        </w:tabs>
        <w:spacing w:after="0" w:line="240" w:lineRule="auto"/>
        <w:ind w:left="1134"/>
        <w:jc w:val="center"/>
        <w:rPr>
          <w:rFonts w:ascii="Times New Roman" w:eastAsia="Times New Roman" w:hAnsi="Times New Roman" w:cs="Times New Roman"/>
          <w:b/>
          <w:lang w:val="en-US"/>
        </w:rPr>
      </w:pPr>
      <w:r w:rsidRPr="00173BB4">
        <w:rPr>
          <w:rFonts w:ascii="Times New Roman" w:eastAsia="Times New Roman" w:hAnsi="Times New Roman" w:cs="Times New Roman"/>
          <w:b/>
          <w:lang w:val="en-US"/>
        </w:rPr>
        <w:t>2014 M. – 2015 M. UŽDUOTYS PROFESINĖS REABILITACIJOS METODINIAM CENTRUI</w:t>
      </w:r>
    </w:p>
    <w:p w:rsidR="00173BB4" w:rsidRPr="00173BB4" w:rsidRDefault="00173BB4" w:rsidP="00173BB4">
      <w:pPr>
        <w:tabs>
          <w:tab w:val="left" w:pos="7740"/>
          <w:tab w:val="right" w:pos="8640"/>
        </w:tabs>
        <w:spacing w:after="0" w:line="240" w:lineRule="auto"/>
        <w:jc w:val="center"/>
        <w:rPr>
          <w:rFonts w:ascii="Times New Roman" w:eastAsia="Times New Roman" w:hAnsi="Times New Roman" w:cs="Times New Roman"/>
          <w:b/>
          <w:lang w:val="en-US"/>
        </w:rPr>
      </w:pPr>
      <w:bookmarkStart w:id="0" w:name="_GoBack"/>
      <w:bookmarkEnd w:id="0"/>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237"/>
        <w:gridCol w:w="2835"/>
        <w:gridCol w:w="5670"/>
      </w:tblGrid>
      <w:tr w:rsidR="004456A6" w:rsidRPr="00173BB4" w:rsidTr="009A747B">
        <w:trPr>
          <w:trHeight w:val="321"/>
        </w:trPr>
        <w:tc>
          <w:tcPr>
            <w:tcW w:w="568" w:type="dxa"/>
            <w:tcBorders>
              <w:top w:val="single" w:sz="4" w:space="0" w:color="auto"/>
              <w:left w:val="single" w:sz="4" w:space="0" w:color="auto"/>
              <w:bottom w:val="single" w:sz="4" w:space="0" w:color="auto"/>
              <w:right w:val="single" w:sz="4" w:space="0" w:color="auto"/>
            </w:tcBorders>
            <w:vAlign w:val="center"/>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Eil. 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Užduoties pavadinimas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Užduoties įvykdymo terminas</w:t>
            </w:r>
          </w:p>
        </w:tc>
        <w:tc>
          <w:tcPr>
            <w:tcW w:w="5670" w:type="dxa"/>
            <w:tcBorders>
              <w:top w:val="single" w:sz="4" w:space="0" w:color="auto"/>
              <w:left w:val="single" w:sz="4" w:space="0" w:color="auto"/>
              <w:bottom w:val="single" w:sz="4" w:space="0" w:color="auto"/>
              <w:right w:val="single" w:sz="4" w:space="0" w:color="auto"/>
            </w:tcBorders>
            <w:vAlign w:val="center"/>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Rezultatas</w:t>
            </w:r>
          </w:p>
        </w:tc>
      </w:tr>
      <w:tr w:rsidR="004456A6" w:rsidRPr="00173BB4" w:rsidTr="009A747B">
        <w:tc>
          <w:tcPr>
            <w:tcW w:w="568" w:type="dxa"/>
            <w:tcBorders>
              <w:top w:val="single" w:sz="4" w:space="0" w:color="auto"/>
              <w:left w:val="single" w:sz="4" w:space="0" w:color="auto"/>
              <w:bottom w:val="single" w:sz="4" w:space="0" w:color="auto"/>
              <w:right w:val="single" w:sz="4" w:space="0" w:color="auto"/>
            </w:tcBorders>
            <w:hideMark/>
          </w:tcPr>
          <w:p w:rsidR="004456A6" w:rsidRPr="00CF7E67"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4456A6" w:rsidRPr="00CF7E67" w:rsidRDefault="004456A6" w:rsidP="00CF7E67">
            <w:pPr>
              <w:tabs>
                <w:tab w:val="left" w:pos="7740"/>
                <w:tab w:val="right" w:pos="8640"/>
              </w:tabs>
              <w:spacing w:after="0" w:line="240" w:lineRule="auto"/>
              <w:rPr>
                <w:rFonts w:ascii="Times New Roman" w:eastAsia="Calibri" w:hAnsi="Times New Roman" w:cs="Times New Roman"/>
                <w:strike/>
                <w:color w:val="000000"/>
                <w:sz w:val="24"/>
                <w:szCs w:val="24"/>
              </w:rPr>
            </w:pPr>
            <w:r w:rsidRPr="00CF7E67">
              <w:rPr>
                <w:rFonts w:ascii="Times New Roman" w:eastAsia="Calibri" w:hAnsi="Times New Roman" w:cs="Times New Roman"/>
                <w:color w:val="000000"/>
                <w:sz w:val="24"/>
                <w:szCs w:val="24"/>
              </w:rPr>
              <w:t>Profesinės reabilitacijos paslaugų teikimo neįgaliesiems 2015 – 2020 m. strategijos projekto bei jos įgyvendinimo 2015 – 2017 m. veiksmų plano projekto parengimas</w:t>
            </w:r>
          </w:p>
        </w:tc>
        <w:tc>
          <w:tcPr>
            <w:tcW w:w="2835" w:type="dxa"/>
            <w:tcBorders>
              <w:top w:val="single" w:sz="4" w:space="0" w:color="auto"/>
              <w:left w:val="single" w:sz="4" w:space="0" w:color="auto"/>
              <w:bottom w:val="single" w:sz="4" w:space="0" w:color="auto"/>
              <w:right w:val="single" w:sz="4" w:space="0" w:color="auto"/>
            </w:tcBorders>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 xml:space="preserve">2014 m. IV </w:t>
            </w:r>
            <w:proofErr w:type="spellStart"/>
            <w:r w:rsidRPr="00173BB4">
              <w:rPr>
                <w:rFonts w:ascii="Times New Roman" w:eastAsia="Times New Roman" w:hAnsi="Times New Roman" w:cs="Times New Roman"/>
                <w:sz w:val="24"/>
                <w:szCs w:val="24"/>
              </w:rPr>
              <w:t>ketv</w:t>
            </w:r>
            <w:proofErr w:type="spellEnd"/>
            <w:r w:rsidRPr="00173BB4">
              <w:rPr>
                <w:rFonts w:ascii="Times New Roman" w:eastAsia="Times New Roman" w:hAnsi="Times New Roman" w:cs="Times New Roman"/>
                <w:sz w:val="24"/>
                <w:szCs w:val="24"/>
              </w:rPr>
              <w:t>.</w:t>
            </w:r>
          </w:p>
          <w:p w:rsidR="004456A6" w:rsidRPr="00173BB4" w:rsidRDefault="004456A6" w:rsidP="00CF7E67">
            <w:pPr>
              <w:spacing w:after="0" w:line="240" w:lineRule="auto"/>
              <w:jc w:val="both"/>
              <w:rPr>
                <w:rFonts w:ascii="Times New Roman" w:eastAsia="Times New Roman" w:hAnsi="Times New Roman" w:cs="Times New Roman"/>
                <w:sz w:val="24"/>
                <w:szCs w:val="24"/>
              </w:rPr>
            </w:pPr>
          </w:p>
          <w:p w:rsidR="004456A6" w:rsidRPr="00173BB4" w:rsidRDefault="004456A6" w:rsidP="00CF7E67">
            <w:pPr>
              <w:spacing w:after="0" w:line="240" w:lineRule="auto"/>
              <w:jc w:val="both"/>
              <w:rPr>
                <w:rFonts w:ascii="Times New Roman" w:eastAsia="Times New Roman" w:hAnsi="Times New Roman" w:cs="Times New Roman"/>
                <w:sz w:val="24"/>
                <w:szCs w:val="24"/>
              </w:rPr>
            </w:pPr>
          </w:p>
          <w:p w:rsidR="004456A6" w:rsidRPr="00173BB4" w:rsidRDefault="004456A6" w:rsidP="00CF7E67">
            <w:pPr>
              <w:spacing w:after="0" w:line="240" w:lineRule="auto"/>
              <w:jc w:val="both"/>
              <w:rPr>
                <w:rFonts w:ascii="Times New Roman" w:eastAsia="Times New Roman" w:hAnsi="Times New Roman" w:cs="Times New Roman"/>
                <w:sz w:val="24"/>
                <w:szCs w:val="24"/>
              </w:rPr>
            </w:pPr>
          </w:p>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 xml:space="preserve">2015 m. III </w:t>
            </w:r>
            <w:proofErr w:type="spellStart"/>
            <w:r w:rsidRPr="00173BB4">
              <w:rPr>
                <w:rFonts w:ascii="Times New Roman" w:eastAsia="Times New Roman" w:hAnsi="Times New Roman" w:cs="Times New Roman"/>
                <w:sz w:val="24"/>
                <w:szCs w:val="24"/>
              </w:rPr>
              <w:t>ketv</w:t>
            </w:r>
            <w:proofErr w:type="spellEnd"/>
            <w:r w:rsidRPr="00173BB4">
              <w:rPr>
                <w:rFonts w:ascii="Times New Roman" w:eastAsia="Times New Roman" w:hAnsi="Times New Roman" w:cs="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Calibri" w:hAnsi="Times New Roman" w:cs="Times New Roman"/>
                <w:strike/>
                <w:sz w:val="24"/>
                <w:szCs w:val="24"/>
              </w:rPr>
            </w:pPr>
            <w:r w:rsidRPr="00173BB4">
              <w:rPr>
                <w:rFonts w:ascii="Times New Roman" w:eastAsia="Calibri" w:hAnsi="Times New Roman" w:cs="Times New Roman"/>
                <w:sz w:val="24"/>
                <w:szCs w:val="24"/>
              </w:rPr>
              <w:t xml:space="preserve">Parengtas pirminis Profesinės reabilitacijos paslaugų teikimo neįgaliesiems 2015 – 2020 m. </w:t>
            </w:r>
            <w:r w:rsidRPr="00CF7E67">
              <w:rPr>
                <w:rFonts w:ascii="Times New Roman" w:eastAsia="Calibri" w:hAnsi="Times New Roman" w:cs="Times New Roman"/>
                <w:sz w:val="24"/>
                <w:szCs w:val="24"/>
              </w:rPr>
              <w:t>strategijos projekto variantas</w:t>
            </w:r>
          </w:p>
          <w:p w:rsidR="004456A6" w:rsidRPr="00CF7E67" w:rsidRDefault="004456A6" w:rsidP="00CF7E67">
            <w:pPr>
              <w:tabs>
                <w:tab w:val="left" w:pos="7740"/>
                <w:tab w:val="right" w:pos="8640"/>
              </w:tabs>
              <w:spacing w:after="0" w:line="240" w:lineRule="auto"/>
              <w:rPr>
                <w:rFonts w:ascii="Times New Roman" w:eastAsia="Calibri" w:hAnsi="Times New Roman" w:cs="Times New Roman"/>
                <w:strike/>
                <w:sz w:val="24"/>
                <w:szCs w:val="24"/>
              </w:rPr>
            </w:pPr>
          </w:p>
          <w:p w:rsidR="004456A6" w:rsidRPr="00173BB4" w:rsidRDefault="004456A6" w:rsidP="00CF7E67">
            <w:pPr>
              <w:tabs>
                <w:tab w:val="left" w:pos="7740"/>
                <w:tab w:val="right" w:pos="8640"/>
              </w:tabs>
              <w:spacing w:after="0" w:line="240" w:lineRule="auto"/>
              <w:rPr>
                <w:rFonts w:ascii="Times New Roman" w:eastAsia="Calibri" w:hAnsi="Times New Roman" w:cs="Times New Roman"/>
                <w:strike/>
                <w:sz w:val="24"/>
                <w:szCs w:val="24"/>
              </w:rPr>
            </w:pPr>
            <w:r w:rsidRPr="00CF7E67">
              <w:rPr>
                <w:rFonts w:ascii="Times New Roman" w:eastAsia="Calibri" w:hAnsi="Times New Roman" w:cs="Times New Roman"/>
                <w:sz w:val="24"/>
                <w:szCs w:val="24"/>
              </w:rPr>
              <w:t>Parengti bei pateikti tvirtinti Profesinės reabilitacijos paslaugų teikimo neįgaliesiems 2015 – 2020 m. strategijos projektas bei jos įgyvendinimo 2015 – 2017 m. veiksmų plano projektas</w:t>
            </w:r>
          </w:p>
        </w:tc>
      </w:tr>
      <w:tr w:rsidR="004456A6" w:rsidRPr="00173BB4" w:rsidTr="009A747B">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Calibri" w:hAnsi="Times New Roman" w:cs="Times New Roman"/>
                <w:bCs/>
                <w:sz w:val="24"/>
                <w:szCs w:val="24"/>
              </w:rPr>
            </w:pPr>
            <w:r w:rsidRPr="00CF7E67">
              <w:rPr>
                <w:rFonts w:ascii="Times New Roman" w:eastAsia="Calibri" w:hAnsi="Times New Roman" w:cs="Times New Roman"/>
                <w:bCs/>
                <w:sz w:val="24"/>
                <w:szCs w:val="24"/>
              </w:rPr>
              <w:t>Reikalavimų profesinės reabilitacijos paslaugas neįgaliesiems teikiantiems specialistams projekto parengimas, profesinės reabilitacijos įstaigose dirbančių specialistų atitikimo parengtiems reikalavimams analizė ir išvadų bei pasiūlymų parengimas dėl galimybių juos tvirtinti šalies mastu, specialistų mokymai bei konsultavimas</w:t>
            </w:r>
          </w:p>
          <w:p w:rsidR="004456A6" w:rsidRPr="00CF7E67" w:rsidRDefault="004456A6" w:rsidP="00CF7E67">
            <w:pPr>
              <w:tabs>
                <w:tab w:val="left" w:pos="7740"/>
                <w:tab w:val="right" w:pos="8640"/>
              </w:tabs>
              <w:spacing w:after="0" w:line="240" w:lineRule="auto"/>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2014 m. 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2015 m. I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2015 m. I–IV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Calibri" w:hAnsi="Times New Roman" w:cs="Times New Roman"/>
                <w:sz w:val="24"/>
                <w:szCs w:val="24"/>
              </w:rPr>
            </w:pPr>
            <w:r w:rsidRPr="00CF7E67">
              <w:rPr>
                <w:rFonts w:ascii="Times New Roman" w:eastAsia="Calibri" w:hAnsi="Times New Roman" w:cs="Times New Roman"/>
                <w:sz w:val="24"/>
                <w:szCs w:val="24"/>
              </w:rPr>
              <w:t>Pagal nustatytus teisės aktų reikalavimus parengtas reikalavimų profesinės reabilitacijos paslaugas neįgaliesiems teikiantiems specialistams projektas, kartu atlikta profesinės reabilitacijos įstaigose dirbančių specialistų atitikimo parengtiems reikalavimams analizė bei parengtos išvados ir pasiūlymai dėl galimybių reikalavimus tvirtinti šalies mastu</w:t>
            </w:r>
          </w:p>
          <w:p w:rsidR="004456A6" w:rsidRPr="00CF7E67" w:rsidRDefault="004456A6" w:rsidP="00CF7E67">
            <w:pPr>
              <w:tabs>
                <w:tab w:val="left" w:pos="7740"/>
                <w:tab w:val="right" w:pos="8640"/>
              </w:tabs>
              <w:spacing w:after="0" w:line="240" w:lineRule="auto"/>
              <w:rPr>
                <w:rFonts w:ascii="Times New Roman" w:eastAsia="Calibri" w:hAnsi="Times New Roman" w:cs="Times New Roman"/>
                <w:sz w:val="24"/>
                <w:szCs w:val="24"/>
              </w:rPr>
            </w:pPr>
          </w:p>
          <w:p w:rsidR="004456A6" w:rsidRPr="00CF7E67" w:rsidRDefault="004456A6" w:rsidP="00CF7E67">
            <w:pPr>
              <w:spacing w:after="0" w:line="240" w:lineRule="auto"/>
              <w:rPr>
                <w:rFonts w:ascii="Times New Roman" w:eastAsia="Times New Roman" w:hAnsi="Times New Roman" w:cs="Times New Roman"/>
                <w:bCs/>
                <w:sz w:val="24"/>
                <w:szCs w:val="24"/>
              </w:rPr>
            </w:pPr>
            <w:r w:rsidRPr="00CF7E67">
              <w:rPr>
                <w:rFonts w:ascii="Times New Roman" w:eastAsia="Calibri" w:hAnsi="Times New Roman" w:cs="Times New Roman"/>
                <w:sz w:val="24"/>
                <w:szCs w:val="24"/>
              </w:rPr>
              <w:t xml:space="preserve">Suorganizuoti viso 2 </w:t>
            </w:r>
            <w:r w:rsidRPr="00CF7E67">
              <w:rPr>
                <w:rFonts w:ascii="Times New Roman" w:eastAsia="Times New Roman" w:hAnsi="Times New Roman" w:cs="Times New Roman"/>
                <w:bCs/>
                <w:sz w:val="24"/>
                <w:szCs w:val="24"/>
              </w:rPr>
              <w:t>profesinės reabilitacijos specialistų</w:t>
            </w:r>
            <w:r w:rsidRPr="00CF7E67">
              <w:rPr>
                <w:rFonts w:ascii="Times New Roman" w:eastAsia="Calibri" w:hAnsi="Times New Roman" w:cs="Times New Roman"/>
                <w:sz w:val="24"/>
                <w:szCs w:val="24"/>
              </w:rPr>
              <w:t xml:space="preserve"> </w:t>
            </w:r>
            <w:r w:rsidRPr="00CF7E67">
              <w:rPr>
                <w:rFonts w:ascii="Times New Roman" w:eastAsia="Calibri" w:hAnsi="Times New Roman" w:cs="Times New Roman"/>
                <w:bCs/>
                <w:sz w:val="24"/>
                <w:szCs w:val="24"/>
              </w:rPr>
              <w:t xml:space="preserve">mokymai, apmokyta </w:t>
            </w:r>
            <w:r w:rsidRPr="00CF7E67">
              <w:rPr>
                <w:rFonts w:ascii="Times New Roman" w:eastAsia="Times New Roman" w:hAnsi="Times New Roman" w:cs="Times New Roman"/>
                <w:bCs/>
                <w:sz w:val="24"/>
                <w:szCs w:val="24"/>
              </w:rPr>
              <w:t>40 specialistų</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bCs/>
                <w:sz w:val="24"/>
                <w:szCs w:val="24"/>
              </w:rPr>
              <w:t>Vykdomas specialistų konsultavimas reikalavimų profesinės reabilitacijos paslaugas neįgaliesiems teikiantiems specialistams taikymo klausimais</w:t>
            </w:r>
          </w:p>
        </w:tc>
      </w:tr>
      <w:tr w:rsidR="004456A6" w:rsidRPr="00173BB4" w:rsidTr="009A747B">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Calibri" w:hAnsi="Times New Roman" w:cs="Times New Roman"/>
                <w:bCs/>
                <w:sz w:val="24"/>
                <w:szCs w:val="24"/>
              </w:rPr>
            </w:pPr>
            <w:r w:rsidRPr="00CF7E67">
              <w:rPr>
                <w:rFonts w:ascii="Times New Roman" w:eastAsia="Calibri" w:hAnsi="Times New Roman" w:cs="Times New Roman"/>
                <w:sz w:val="24"/>
                <w:szCs w:val="24"/>
              </w:rPr>
              <w:t>5 (penkių) profesinės reabilitacijos paslaugų teikimo regos, klausos, sutrikusio intelekto, psichikos ir fizinę negalią turintiems asmenims metodikų projektų parengimas, parengtų metodikų įdiegimo galimybių profesinės reabilitacijos paslaugas teikiančiose įstaigose analizė ir išvadų bei pasiūlymų pateikimas dėl galimybių įdiegti jas šalies mastu, specialistų mokymai bei konsultavimas</w:t>
            </w:r>
          </w:p>
          <w:p w:rsidR="004456A6" w:rsidRPr="00CF7E67" w:rsidRDefault="004456A6" w:rsidP="00CF7E67">
            <w:pPr>
              <w:tabs>
                <w:tab w:val="left" w:pos="7740"/>
                <w:tab w:val="right" w:pos="8640"/>
              </w:tabs>
              <w:spacing w:after="0" w:line="240" w:lineRule="auto"/>
              <w:jc w:val="both"/>
              <w:rPr>
                <w:rFonts w:ascii="Times New Roman" w:eastAsia="Calibri"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2014 m. 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lastRenderedPageBreak/>
              <w:t xml:space="preserve">2015 m. II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2015 m. I–IV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lastRenderedPageBreak/>
              <w:t>Pagal nustatytus teisės aktų reikalavimus parengti profesinės reabilitacijos paslaugų teikimo regos, klausos, sutrikusio intelekto, psichikos ir fizinę negalią turintiems asmenims metodikų projektai, kartu atlikta parengtų metodikų įdiegimo galimybių profesinės reabilitacijos paslaugas teikiančiose įstaigose analizė bei pateiktos išvados ir pasiūlymai dėl galimybių metodikas diegti įstaigose šalies mastu</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CF7E67">
              <w:rPr>
                <w:rFonts w:ascii="Times New Roman" w:eastAsia="Times New Roman" w:hAnsi="Times New Roman" w:cs="Times New Roman"/>
                <w:sz w:val="24"/>
                <w:szCs w:val="24"/>
              </w:rPr>
              <w:lastRenderedPageBreak/>
              <w:t xml:space="preserve">Suorganizuoti viso 5 profesinės reabilitacijos specialistų </w:t>
            </w:r>
            <w:r w:rsidRPr="00CF7E67">
              <w:rPr>
                <w:rFonts w:ascii="Times New Roman" w:eastAsia="Times New Roman" w:hAnsi="Times New Roman" w:cs="Times New Roman"/>
                <w:bCs/>
                <w:sz w:val="24"/>
                <w:szCs w:val="24"/>
              </w:rPr>
              <w:t>mokymai dėl profesinės reabilitacijos paslaugų teikimo regos, klausos, sutrikusio intelekto, psichikos ir fizinę negalią turintiems asmenims metod</w:t>
            </w:r>
            <w:r>
              <w:rPr>
                <w:rFonts w:ascii="Times New Roman" w:eastAsia="Times New Roman" w:hAnsi="Times New Roman" w:cs="Times New Roman"/>
                <w:bCs/>
                <w:sz w:val="24"/>
                <w:szCs w:val="24"/>
              </w:rPr>
              <w:t>ikų taikymo ir diegimo. Apmokyti ne mažiau kaip 75 specialistus</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bCs/>
                <w:sz w:val="24"/>
                <w:szCs w:val="24"/>
              </w:rPr>
              <w:t>Suteiktos konsultacijos specialistams profesinės reabilitacijos paslaugų teikimo regos, klausos, sutrikusio intelekto, psichikos ir fizinę negalią turintiems asmenims metodikų taikymo ir diegimo klausimais</w:t>
            </w:r>
          </w:p>
        </w:tc>
      </w:tr>
      <w:tr w:rsidR="004456A6" w:rsidRPr="00173BB4" w:rsidTr="009A747B">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Calibri" w:hAnsi="Times New Roman" w:cs="Times New Roman"/>
                <w:sz w:val="24"/>
                <w:szCs w:val="24"/>
              </w:rPr>
              <w:t xml:space="preserve">Profesinės reabilitacijos paslaugų teikimo neįgaliesiems standartų projekto parengimas bei Profesinės reabilitacijos paslaugų teikimo kokybės įvertinimo sistemą apibrėžiančio teisės akto projekto </w:t>
            </w:r>
            <w:r w:rsidRPr="00CF7E67">
              <w:rPr>
                <w:rFonts w:ascii="Times New Roman" w:eastAsia="Calibri" w:hAnsi="Times New Roman" w:cs="Times New Roman"/>
                <w:bCs/>
                <w:sz w:val="24"/>
                <w:szCs w:val="24"/>
              </w:rPr>
              <w:t xml:space="preserve">parengimas, </w:t>
            </w:r>
            <w:r w:rsidRPr="00CF7E67">
              <w:rPr>
                <w:rFonts w:ascii="Times New Roman" w:eastAsia="Calibri" w:hAnsi="Times New Roman" w:cs="Times New Roman"/>
                <w:sz w:val="24"/>
                <w:szCs w:val="24"/>
              </w:rPr>
              <w:t>Profesinės reabilitacijos paslaugų teikimo neįgaliesiems standartų bei Profesinės reabilitacijos paslaugų teikimo kokybės įvertinimo sistemos išbandymas, įdiegimo galimybių profesinės reabilitacijos paslaugas teikiančiose įstaigose analizė ir išvadų bei pasiūlymų parengimas dėl galimybių tvirtinti Standartus ir Kokybės įvertinimo sistemą šalies mastu, specialistų mokymai bei konsultavimas</w:t>
            </w:r>
          </w:p>
        </w:tc>
        <w:tc>
          <w:tcPr>
            <w:tcW w:w="2835"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2015 m. </w:t>
            </w:r>
            <w:r>
              <w:rPr>
                <w:rFonts w:ascii="Times New Roman" w:eastAsia="Times New Roman" w:hAnsi="Times New Roman" w:cs="Times New Roman"/>
                <w:sz w:val="24"/>
                <w:szCs w:val="24"/>
              </w:rPr>
              <w:t>I–</w:t>
            </w:r>
            <w:r w:rsidRPr="00CF7E67">
              <w:rPr>
                <w:rFonts w:ascii="Times New Roman" w:eastAsia="Times New Roman" w:hAnsi="Times New Roman" w:cs="Times New Roman"/>
                <w:sz w:val="24"/>
                <w:szCs w:val="24"/>
              </w:rPr>
              <w:t xml:space="preserve">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p>
          <w:p w:rsidR="004456A6"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2015 m. II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2015 m. II</w:t>
            </w:r>
            <w:proofErr w:type="gramStart"/>
            <w:r>
              <w:rPr>
                <w:rFonts w:ascii="Times New Roman" w:eastAsia="Times New Roman" w:hAnsi="Times New Roman" w:cs="Times New Roman"/>
                <w:sz w:val="24"/>
                <w:szCs w:val="24"/>
              </w:rPr>
              <w:t>-</w:t>
            </w:r>
            <w:proofErr w:type="gramEnd"/>
            <w:r w:rsidRPr="00CF7E67">
              <w:rPr>
                <w:rFonts w:ascii="Times New Roman" w:eastAsia="Times New Roman" w:hAnsi="Times New Roman" w:cs="Times New Roman"/>
                <w:sz w:val="24"/>
                <w:szCs w:val="24"/>
              </w:rPr>
              <w:t xml:space="preserve">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CF7E67">
              <w:rPr>
                <w:rFonts w:ascii="Times New Roman" w:eastAsia="Times New Roman" w:hAnsi="Times New Roman" w:cs="Times New Roman"/>
                <w:bCs/>
                <w:sz w:val="24"/>
                <w:szCs w:val="24"/>
              </w:rPr>
              <w:t xml:space="preserve">Pagal nustatytus teisės aktų reikalavimus parengtas Profesinės reabilitacijos paslaugų teikimo neįgaliesiems standartų projektas </w:t>
            </w:r>
            <w:r w:rsidRPr="00CF7E67">
              <w:rPr>
                <w:rFonts w:ascii="Times New Roman" w:eastAsia="Calibri" w:hAnsi="Times New Roman" w:cs="Times New Roman"/>
                <w:sz w:val="24"/>
                <w:szCs w:val="24"/>
              </w:rPr>
              <w:t xml:space="preserve">bei Profesinės reabilitacijos paslaugų teikimo kokybės </w:t>
            </w:r>
            <w:r>
              <w:rPr>
                <w:rFonts w:ascii="Times New Roman" w:eastAsia="Calibri" w:hAnsi="Times New Roman" w:cs="Times New Roman"/>
                <w:sz w:val="24"/>
                <w:szCs w:val="24"/>
              </w:rPr>
              <w:t>įvertinimo sistemą apibrėžiančio</w:t>
            </w:r>
            <w:r w:rsidRPr="00CF7E67">
              <w:rPr>
                <w:rFonts w:ascii="Times New Roman" w:eastAsia="Calibri" w:hAnsi="Times New Roman" w:cs="Times New Roman"/>
                <w:sz w:val="24"/>
                <w:szCs w:val="24"/>
              </w:rPr>
              <w:t xml:space="preserve"> teisės akto </w:t>
            </w:r>
            <w:r w:rsidRPr="00CF7E67">
              <w:rPr>
                <w:rFonts w:ascii="Times New Roman" w:eastAsia="Times New Roman" w:hAnsi="Times New Roman" w:cs="Times New Roman"/>
                <w:bCs/>
                <w:sz w:val="24"/>
                <w:szCs w:val="24"/>
              </w:rPr>
              <w:t>projektas,</w:t>
            </w:r>
          </w:p>
          <w:p w:rsidR="004456A6" w:rsidRPr="00CF7E67" w:rsidRDefault="004456A6" w:rsidP="00CF7E67">
            <w:pPr>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CF7E67">
              <w:rPr>
                <w:rFonts w:ascii="Times New Roman" w:eastAsia="Calibri" w:hAnsi="Times New Roman" w:cs="Times New Roman"/>
                <w:sz w:val="24"/>
                <w:szCs w:val="24"/>
              </w:rPr>
              <w:t>Profesinės reabilitacijos paslaugų teikimo neįgaliesiems standartai ir kokybė</w:t>
            </w:r>
            <w:r>
              <w:rPr>
                <w:rFonts w:ascii="Times New Roman" w:eastAsia="Calibri" w:hAnsi="Times New Roman" w:cs="Times New Roman"/>
                <w:sz w:val="24"/>
                <w:szCs w:val="24"/>
              </w:rPr>
              <w:t>s įvertinimo sistema bus įdiegiami ir išbandomi ne mažiau kaip</w:t>
            </w:r>
            <w:r w:rsidRPr="00CF7E67">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rPr>
              <w:t>2</w:t>
            </w:r>
            <w:r w:rsidRPr="00CF7E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dviejose</w:t>
            </w:r>
            <w:r w:rsidRPr="00CF7E67">
              <w:rPr>
                <w:rFonts w:ascii="Times New Roman" w:eastAsia="Times New Roman" w:hAnsi="Times New Roman" w:cs="Times New Roman"/>
                <w:bCs/>
                <w:sz w:val="24"/>
                <w:szCs w:val="24"/>
              </w:rPr>
              <w:t>) profesinės reabilitacijos paslaugas teikiančiose įstaigose, kartu</w:t>
            </w:r>
          </w:p>
          <w:p w:rsidR="004456A6" w:rsidRPr="00CF7E67" w:rsidRDefault="004456A6" w:rsidP="00CF7E67">
            <w:pPr>
              <w:suppressAutoHyphens/>
              <w:autoSpaceDE w:val="0"/>
              <w:autoSpaceDN w:val="0"/>
              <w:adjustRightInd w:val="0"/>
              <w:spacing w:after="0" w:line="240" w:lineRule="auto"/>
              <w:textAlignment w:val="center"/>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atlikta parengtų </w:t>
            </w:r>
            <w:r w:rsidRPr="00CF7E67">
              <w:rPr>
                <w:rFonts w:ascii="Times New Roman" w:eastAsia="Calibri" w:hAnsi="Times New Roman" w:cs="Times New Roman"/>
                <w:sz w:val="24"/>
                <w:szCs w:val="24"/>
              </w:rPr>
              <w:t xml:space="preserve">standartų ir kokybės įvertinimo sistemos </w:t>
            </w:r>
            <w:r w:rsidRPr="00CF7E67">
              <w:rPr>
                <w:rFonts w:ascii="Times New Roman" w:eastAsia="Times New Roman" w:hAnsi="Times New Roman" w:cs="Times New Roman"/>
                <w:sz w:val="24"/>
                <w:szCs w:val="24"/>
              </w:rPr>
              <w:t>įdiegimo galimybių profesinės reabilitacijos paslaugas teikiančiose įstaigose analizė bei pateiktos išvados ir pasiūlymai dėl galimybių Standartus ir Kokybės įvertinimo sistemą tvirtinti šalies mastu</w:t>
            </w:r>
          </w:p>
          <w:p w:rsidR="004456A6" w:rsidRPr="00CF7E67" w:rsidRDefault="004456A6" w:rsidP="00CF7E67">
            <w:pPr>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r w:rsidRPr="00CF7E67">
              <w:rPr>
                <w:rFonts w:ascii="Times New Roman" w:eastAsia="Times New Roman" w:hAnsi="Times New Roman" w:cs="Times New Roman"/>
                <w:sz w:val="24"/>
                <w:szCs w:val="24"/>
              </w:rPr>
              <w:t xml:space="preserve">Suorganizuoti viso </w:t>
            </w:r>
            <w:r w:rsidRPr="00CF7E67">
              <w:rPr>
                <w:rFonts w:ascii="Times New Roman" w:eastAsia="Times New Roman" w:hAnsi="Times New Roman" w:cs="Times New Roman"/>
                <w:bCs/>
                <w:sz w:val="24"/>
                <w:szCs w:val="24"/>
              </w:rPr>
              <w:t>ne mažiau kaip 2 profesinės reabilitacijos specialistų mokymai profesinės reabilitacijos paslaugų teikimo neįgaliesiems standartų ir Profesinės reabilitacijos paslaugų teikimo kokybės įvertinimo sistemos taikymo ir diegimo klausimais. Apmokyta ne mažiau kaip 40 specialistų</w:t>
            </w: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p>
          <w:p w:rsidR="004456A6" w:rsidRPr="00CF7E67" w:rsidRDefault="004456A6" w:rsidP="00CF7E67">
            <w:pPr>
              <w:tabs>
                <w:tab w:val="left" w:pos="7740"/>
                <w:tab w:val="right" w:pos="8640"/>
              </w:tabs>
              <w:spacing w:after="0" w:line="240" w:lineRule="auto"/>
              <w:rPr>
                <w:rFonts w:ascii="Times New Roman" w:eastAsia="Times New Roman" w:hAnsi="Times New Roman" w:cs="Times New Roman"/>
                <w:bCs/>
                <w:sz w:val="24"/>
                <w:szCs w:val="24"/>
              </w:rPr>
            </w:pPr>
            <w:r w:rsidRPr="00CF7E67">
              <w:rPr>
                <w:rFonts w:ascii="Times New Roman" w:eastAsia="Times New Roman" w:hAnsi="Times New Roman" w:cs="Times New Roman"/>
                <w:bCs/>
                <w:sz w:val="24"/>
                <w:szCs w:val="24"/>
              </w:rPr>
              <w:t xml:space="preserve">Suteiktos konsultacijos profesinės reabilitacijos specialistams </w:t>
            </w:r>
            <w:r w:rsidRPr="00CF7E67">
              <w:rPr>
                <w:rFonts w:ascii="Times New Roman" w:eastAsia="Calibri" w:hAnsi="Times New Roman" w:cs="Times New Roman"/>
                <w:sz w:val="24"/>
                <w:szCs w:val="24"/>
              </w:rPr>
              <w:t xml:space="preserve">Profesinės reabilitacijos paslaugų teikimo neįgaliesiems standartų ir Profesinės reabilitacijos </w:t>
            </w:r>
            <w:r w:rsidRPr="00CF7E67">
              <w:rPr>
                <w:rFonts w:ascii="Times New Roman" w:eastAsia="Calibri" w:hAnsi="Times New Roman" w:cs="Times New Roman"/>
                <w:sz w:val="24"/>
                <w:szCs w:val="24"/>
              </w:rPr>
              <w:lastRenderedPageBreak/>
              <w:t>paslaugų teikimo kokybės įvertinimo sistemos išbandymo ir į</w:t>
            </w:r>
            <w:r w:rsidRPr="00CF7E67">
              <w:rPr>
                <w:rFonts w:ascii="Times New Roman" w:eastAsia="Calibri" w:hAnsi="Times New Roman" w:cs="Times New Roman"/>
                <w:bCs/>
                <w:sz w:val="24"/>
                <w:szCs w:val="24"/>
              </w:rPr>
              <w:t>diegimo klausimais</w:t>
            </w:r>
          </w:p>
        </w:tc>
      </w:tr>
      <w:tr w:rsidR="004456A6" w:rsidRPr="00173BB4" w:rsidTr="009A747B">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Praktinių seminarų apie profesinės reabilitacijos paslaugų metodikų, standartų, kokybės įvertinimo sistemos, reikalavimų specialistams taikymą bei diegimą organizavimas ir vykdymas</w:t>
            </w:r>
          </w:p>
        </w:tc>
        <w:tc>
          <w:tcPr>
            <w:tcW w:w="2835" w:type="dxa"/>
            <w:tcBorders>
              <w:top w:val="single" w:sz="4" w:space="0" w:color="auto"/>
              <w:left w:val="single" w:sz="4" w:space="0" w:color="auto"/>
              <w:bottom w:val="single" w:sz="4" w:space="0" w:color="auto"/>
              <w:right w:val="single" w:sz="4" w:space="0" w:color="auto"/>
            </w:tcBorders>
          </w:tcPr>
          <w:p w:rsidR="004456A6" w:rsidRPr="00CF7E67" w:rsidRDefault="004456A6" w:rsidP="00CF7E67">
            <w:pPr>
              <w:tabs>
                <w:tab w:val="left" w:pos="34"/>
              </w:tabs>
              <w:spacing w:after="0" w:line="240" w:lineRule="auto"/>
              <w:jc w:val="both"/>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2015 m</w:t>
            </w:r>
            <w:r w:rsidRPr="0073234C">
              <w:rPr>
                <w:rFonts w:ascii="Times New Roman" w:eastAsia="Times New Roman" w:hAnsi="Times New Roman" w:cs="Times New Roman"/>
                <w:sz w:val="24"/>
                <w:szCs w:val="24"/>
              </w:rPr>
              <w:t>. III</w:t>
            </w:r>
            <w:proofErr w:type="gramStart"/>
            <w:r w:rsidRPr="0073234C">
              <w:rPr>
                <w:rFonts w:ascii="Times New Roman" w:eastAsia="Times New Roman" w:hAnsi="Times New Roman" w:cs="Times New Roman"/>
                <w:sz w:val="24"/>
                <w:szCs w:val="24"/>
              </w:rPr>
              <w:t>-</w:t>
            </w:r>
            <w:proofErr w:type="gramEnd"/>
            <w:r w:rsidRPr="0073234C">
              <w:rPr>
                <w:rFonts w:ascii="Times New Roman" w:eastAsia="Times New Roman" w:hAnsi="Times New Roman" w:cs="Times New Roman"/>
                <w:sz w:val="24"/>
                <w:szCs w:val="24"/>
              </w:rPr>
              <w:t xml:space="preserve"> IV </w:t>
            </w:r>
            <w:proofErr w:type="spellStart"/>
            <w:r w:rsidRPr="00CF7E67">
              <w:rPr>
                <w:rFonts w:ascii="Times New Roman" w:eastAsia="Times New Roman" w:hAnsi="Times New Roman" w:cs="Times New Roman"/>
                <w:sz w:val="24"/>
                <w:szCs w:val="24"/>
              </w:rPr>
              <w:t>ketv</w:t>
            </w:r>
            <w:proofErr w:type="spellEnd"/>
            <w:r w:rsidRPr="00CF7E67">
              <w:rPr>
                <w:rFonts w:ascii="Times New Roman" w:eastAsia="Times New Roman" w:hAnsi="Times New Roman" w:cs="Times New Roman"/>
                <w:sz w:val="24"/>
                <w:szCs w:val="24"/>
              </w:rPr>
              <w:t>.</w:t>
            </w:r>
          </w:p>
          <w:p w:rsidR="004456A6" w:rsidRPr="00CF7E67" w:rsidRDefault="004456A6" w:rsidP="00CF7E67">
            <w:pPr>
              <w:tabs>
                <w:tab w:val="left" w:pos="34"/>
              </w:tabs>
              <w:spacing w:after="0" w:line="240" w:lineRule="auto"/>
              <w:jc w:val="both"/>
              <w:rPr>
                <w:rFonts w:ascii="Times New Roman" w:eastAsia="Times New Roman" w:hAnsi="Times New Roman" w:cs="Times New Roman"/>
                <w:color w:val="FF000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456A6" w:rsidRPr="00CF7E67" w:rsidRDefault="004456A6" w:rsidP="00CF7E67">
            <w:pPr>
              <w:tabs>
                <w:tab w:val="left" w:pos="34"/>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Suorganizuoti viso ne mažiau kaip 2 praktiniai seminarai.</w:t>
            </w:r>
          </w:p>
          <w:p w:rsidR="004456A6" w:rsidRPr="00CF7E67" w:rsidRDefault="004456A6" w:rsidP="00CF7E67">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Seminaruose dalyvaus</w:t>
            </w:r>
            <w:r w:rsidRPr="00CF7E67">
              <w:rPr>
                <w:rFonts w:ascii="Times New Roman" w:eastAsia="Times New Roman" w:hAnsi="Times New Roman" w:cs="Times New Roman"/>
                <w:sz w:val="24"/>
                <w:szCs w:val="24"/>
              </w:rPr>
              <w:t xml:space="preserve"> ne mažiau kaip 40 specialistų</w:t>
            </w:r>
          </w:p>
        </w:tc>
      </w:tr>
      <w:tr w:rsidR="004456A6" w:rsidRPr="00173BB4" w:rsidTr="009A747B">
        <w:trPr>
          <w:trHeight w:val="888"/>
        </w:trPr>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Pr="00173BB4">
              <w:rPr>
                <w:rFonts w:ascii="Times New Roman" w:eastAsia="Times New Roman" w:hAnsi="Times New Roman" w:cs="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Calibri" w:hAnsi="Times New Roman" w:cs="Times New Roman"/>
                <w:bCs/>
                <w:sz w:val="24"/>
                <w:szCs w:val="24"/>
              </w:rPr>
              <w:t>Įvadinių mokymų specialistams „Profesinės reabilitacijos paslaugų teikimas skirtingas negalias turintiems asmenims ir paslaugų kokybės užtikrinimas“ organizavimas ir vykdymas</w:t>
            </w:r>
          </w:p>
        </w:tc>
        <w:tc>
          <w:tcPr>
            <w:tcW w:w="2835" w:type="dxa"/>
            <w:tcBorders>
              <w:top w:val="single" w:sz="4" w:space="0" w:color="auto"/>
              <w:left w:val="single" w:sz="4" w:space="0" w:color="auto"/>
              <w:bottom w:val="single" w:sz="4" w:space="0" w:color="auto"/>
              <w:right w:val="single" w:sz="4" w:space="0" w:color="auto"/>
            </w:tcBorders>
            <w:hideMark/>
          </w:tcPr>
          <w:p w:rsidR="004456A6"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CF7E67">
              <w:rPr>
                <w:rFonts w:ascii="Times New Roman" w:eastAsia="Times New Roman" w:hAnsi="Times New Roman" w:cs="Times New Roman"/>
                <w:sz w:val="24"/>
                <w:szCs w:val="24"/>
                <w:lang w:val="en-US"/>
              </w:rPr>
              <w:t xml:space="preserve">2015 m. II </w:t>
            </w:r>
            <w:proofErr w:type="spellStart"/>
            <w:r w:rsidRPr="00CF7E67">
              <w:rPr>
                <w:rFonts w:ascii="Times New Roman" w:eastAsia="Times New Roman" w:hAnsi="Times New Roman" w:cs="Times New Roman"/>
                <w:sz w:val="24"/>
                <w:szCs w:val="24"/>
                <w:lang w:val="en-US"/>
              </w:rPr>
              <w:t>ketv</w:t>
            </w:r>
            <w:proofErr w:type="spellEnd"/>
            <w:r w:rsidRPr="00CF7E67">
              <w:rPr>
                <w:rFonts w:ascii="Times New Roman" w:eastAsia="Times New Roman" w:hAnsi="Times New Roman" w:cs="Times New Roman"/>
                <w:sz w:val="24"/>
                <w:szCs w:val="24"/>
                <w:lang w:val="en-US"/>
              </w:rPr>
              <w:t>.</w:t>
            </w:r>
          </w:p>
          <w:p w:rsidR="004456A6" w:rsidRPr="004456A6" w:rsidRDefault="004456A6" w:rsidP="004456A6">
            <w:pPr>
              <w:tabs>
                <w:tab w:val="left" w:pos="1845"/>
              </w:tabs>
              <w:rPr>
                <w:rFonts w:ascii="Times New Roman" w:eastAsia="Times New Roman" w:hAnsi="Times New Roman" w:cs="Times New Roman"/>
                <w:sz w:val="24"/>
                <w:szCs w:val="24"/>
                <w:lang w:val="en-US"/>
              </w:rPr>
            </w:pPr>
          </w:p>
        </w:tc>
        <w:tc>
          <w:tcPr>
            <w:tcW w:w="5670" w:type="dxa"/>
            <w:tcBorders>
              <w:top w:val="single" w:sz="4" w:space="0" w:color="auto"/>
              <w:left w:val="single" w:sz="4" w:space="0" w:color="auto"/>
              <w:bottom w:val="single" w:sz="4" w:space="0" w:color="auto"/>
              <w:right w:val="single" w:sz="4" w:space="0" w:color="auto"/>
            </w:tcBorders>
            <w:hideMark/>
          </w:tcPr>
          <w:p w:rsidR="004456A6" w:rsidRPr="00CF7E67"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CF7E67">
              <w:rPr>
                <w:rFonts w:ascii="Times New Roman" w:eastAsia="Times New Roman" w:hAnsi="Times New Roman" w:cs="Times New Roman"/>
                <w:sz w:val="24"/>
                <w:szCs w:val="24"/>
              </w:rPr>
              <w:t xml:space="preserve">Suorganizuoti mokymai, apmokyta 15 </w:t>
            </w:r>
            <w:r w:rsidRPr="00CF7E67">
              <w:rPr>
                <w:rFonts w:ascii="Times New Roman" w:eastAsia="Times New Roman" w:hAnsi="Times New Roman" w:cs="Times New Roman"/>
                <w:bCs/>
                <w:sz w:val="24"/>
                <w:szCs w:val="24"/>
                <w:lang w:eastAsia="lt-LT"/>
              </w:rPr>
              <w:t>naujai dirbančių profesinės reabilitacijos specialistų</w:t>
            </w:r>
          </w:p>
        </w:tc>
      </w:tr>
      <w:tr w:rsidR="004456A6" w:rsidRPr="00173BB4" w:rsidTr="009A747B">
        <w:trPr>
          <w:trHeight w:val="270"/>
        </w:trPr>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Pr="00173BB4">
              <w:rPr>
                <w:rFonts w:ascii="Times New Roman" w:eastAsia="Times New Roman" w:hAnsi="Times New Roman" w:cs="Times New Roman"/>
                <w:sz w:val="24"/>
                <w:szCs w:val="24"/>
                <w:lang w:val="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Calibri" w:hAnsi="Times New Roman" w:cs="Times New Roman"/>
                <w:bCs/>
                <w:sz w:val="24"/>
                <w:szCs w:val="24"/>
              </w:rPr>
            </w:pPr>
            <w:r w:rsidRPr="00173BB4">
              <w:rPr>
                <w:rFonts w:ascii="Times New Roman" w:eastAsia="Times New Roman" w:hAnsi="Times New Roman" w:cs="Times New Roman"/>
                <w:bCs/>
                <w:sz w:val="24"/>
                <w:szCs w:val="24"/>
              </w:rPr>
              <w:t>Profesinės reabilitacijos paslaugų teikimo neįgaliesiems metodinės medžiagos „Darbo funkcijos ir reikalavimai šioms funkcijoms atlikti“</w:t>
            </w:r>
            <w:r w:rsidRPr="00173BB4">
              <w:rPr>
                <w:rFonts w:ascii="Times New Roman" w:eastAsia="Times New Roman" w:hAnsi="Times New Roman" w:cs="Times New Roman"/>
                <w:b/>
                <w:bCs/>
                <w:sz w:val="24"/>
                <w:szCs w:val="24"/>
              </w:rPr>
              <w:t xml:space="preserve"> </w:t>
            </w:r>
            <w:r w:rsidRPr="00173BB4">
              <w:rPr>
                <w:rFonts w:ascii="Times New Roman" w:eastAsia="Times New Roman" w:hAnsi="Times New Roman" w:cs="Times New Roman"/>
                <w:bCs/>
                <w:sz w:val="24"/>
                <w:szCs w:val="24"/>
              </w:rPr>
              <w:t>parengimas</w:t>
            </w:r>
          </w:p>
        </w:tc>
        <w:tc>
          <w:tcPr>
            <w:tcW w:w="2835"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Times New Roman" w:hAnsi="Times New Roman" w:cs="Times New Roman"/>
                <w:sz w:val="24"/>
                <w:szCs w:val="24"/>
                <w:lang w:val="en-US"/>
              </w:rPr>
              <w:t>2014 m. III</w:t>
            </w:r>
            <w:r>
              <w:rPr>
                <w:rFonts w:ascii="Times New Roman" w:eastAsia="Times New Roman" w:hAnsi="Times New Roman" w:cs="Times New Roman"/>
                <w:sz w:val="24"/>
                <w:szCs w:val="24"/>
                <w:lang w:val="en-US"/>
              </w:rPr>
              <w:t>–</w:t>
            </w:r>
            <w:r w:rsidRPr="00173BB4">
              <w:rPr>
                <w:rFonts w:ascii="Times New Roman" w:eastAsia="Times New Roman" w:hAnsi="Times New Roman" w:cs="Times New Roman"/>
                <w:sz w:val="24"/>
                <w:szCs w:val="24"/>
                <w:lang w:val="en-US"/>
              </w:rPr>
              <w:t xml:space="preserve">IV </w:t>
            </w:r>
            <w:proofErr w:type="spellStart"/>
            <w:r w:rsidRPr="00173BB4">
              <w:rPr>
                <w:rFonts w:ascii="Times New Roman" w:eastAsia="Times New Roman" w:hAnsi="Times New Roman" w:cs="Times New Roman"/>
                <w:sz w:val="24"/>
                <w:szCs w:val="24"/>
                <w:lang w:val="en-US"/>
              </w:rPr>
              <w:t>ketv</w:t>
            </w:r>
            <w:proofErr w:type="spellEnd"/>
            <w:r w:rsidRPr="00173BB4">
              <w:rPr>
                <w:rFonts w:ascii="Times New Roman" w:eastAsia="Times New Roman" w:hAnsi="Times New Roman" w:cs="Times New Roman"/>
                <w:sz w:val="24"/>
                <w:szCs w:val="24"/>
                <w:lang w:val="en-US"/>
              </w:rPr>
              <w:t>.</w:t>
            </w:r>
          </w:p>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Times New Roman" w:hAnsi="Times New Roman" w:cs="Times New Roman"/>
                <w:sz w:val="24"/>
                <w:szCs w:val="24"/>
                <w:lang w:val="en-US"/>
              </w:rPr>
              <w:t xml:space="preserve">2015 m. I-IV </w:t>
            </w:r>
            <w:proofErr w:type="spellStart"/>
            <w:r w:rsidRPr="00173BB4">
              <w:rPr>
                <w:rFonts w:ascii="Times New Roman" w:eastAsia="Times New Roman" w:hAnsi="Times New Roman" w:cs="Times New Roman"/>
                <w:sz w:val="24"/>
                <w:szCs w:val="24"/>
                <w:lang w:val="en-US"/>
              </w:rPr>
              <w:t>ketv</w:t>
            </w:r>
            <w:proofErr w:type="spellEnd"/>
            <w:r w:rsidRPr="00173BB4">
              <w:rPr>
                <w:rFonts w:ascii="Times New Roman" w:eastAsia="Times New Roman" w:hAnsi="Times New Roman" w:cs="Times New Roman"/>
                <w:sz w:val="24"/>
                <w:szCs w:val="24"/>
                <w:lang w:val="en-US"/>
              </w:rPr>
              <w:t>.</w:t>
            </w:r>
          </w:p>
        </w:tc>
        <w:tc>
          <w:tcPr>
            <w:tcW w:w="5670"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Parengta ir skaitmeniniu formatu viešinama metodinė medžiaga „</w:t>
            </w:r>
            <w:r w:rsidRPr="00173BB4">
              <w:rPr>
                <w:rFonts w:ascii="Times New Roman" w:eastAsia="Calibri" w:hAnsi="Times New Roman" w:cs="Times New Roman"/>
                <w:bCs/>
                <w:sz w:val="24"/>
                <w:szCs w:val="24"/>
              </w:rPr>
              <w:t>Darbo funkcijos ir reikalavimai šioms funkcijoms atlikti“</w:t>
            </w:r>
            <w:r w:rsidRPr="00173BB4">
              <w:rPr>
                <w:rFonts w:ascii="Times New Roman" w:eastAsia="Calibri" w:hAnsi="Times New Roman" w:cs="Times New Roman"/>
                <w:b/>
                <w:bCs/>
                <w:sz w:val="24"/>
                <w:szCs w:val="24"/>
              </w:rPr>
              <w:t xml:space="preserve"> </w:t>
            </w:r>
            <w:r w:rsidRPr="00173BB4">
              <w:rPr>
                <w:rFonts w:ascii="Times New Roman" w:eastAsia="Times New Roman" w:hAnsi="Times New Roman" w:cs="Times New Roman"/>
                <w:sz w:val="24"/>
                <w:szCs w:val="24"/>
              </w:rPr>
              <w:t xml:space="preserve">(apimtis: ne mažiau kaip kasmet po 15 </w:t>
            </w:r>
            <w:r w:rsidRPr="00173BB4">
              <w:rPr>
                <w:rFonts w:ascii="Times New Roman" w:eastAsia="Times New Roman" w:hAnsi="Times New Roman" w:cs="Times New Roman"/>
                <w:bCs/>
                <w:sz w:val="24"/>
                <w:szCs w:val="24"/>
              </w:rPr>
              <w:t>naujų darbo funkcijų ir šioms funkcijoms atlikti keliamų reikalavimų</w:t>
            </w:r>
            <w:r w:rsidRPr="00173BB4">
              <w:rPr>
                <w:rFonts w:ascii="Times New Roman" w:eastAsia="Times New Roman" w:hAnsi="Times New Roman" w:cs="Times New Roman"/>
                <w:sz w:val="24"/>
                <w:szCs w:val="24"/>
              </w:rPr>
              <w:t xml:space="preserve"> įvertinimas ir aprašymas)</w:t>
            </w:r>
          </w:p>
        </w:tc>
      </w:tr>
      <w:tr w:rsidR="004456A6" w:rsidRPr="00173BB4" w:rsidTr="009A747B">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173BB4">
              <w:rPr>
                <w:rFonts w:ascii="Times New Roman" w:eastAsia="Times New Roman" w:hAnsi="Times New Roman" w:cs="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Calibri" w:hAnsi="Times New Roman" w:cs="Times New Roman"/>
                <w:sz w:val="24"/>
                <w:szCs w:val="24"/>
              </w:rPr>
              <w:t>Konferencijos, kurioje bus pristatytos profesinės reabilitacijos paslaugų teikimo ir kokybės užtikrinimo naujovės, organizavimas</w:t>
            </w:r>
          </w:p>
        </w:tc>
        <w:tc>
          <w:tcPr>
            <w:tcW w:w="2835"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both"/>
              <w:rPr>
                <w:rFonts w:ascii="Times New Roman" w:eastAsia="Times New Roman" w:hAnsi="Times New Roman" w:cs="Times New Roman"/>
                <w:sz w:val="24"/>
                <w:szCs w:val="24"/>
                <w:lang w:val="en-US"/>
              </w:rPr>
            </w:pPr>
            <w:r w:rsidRPr="00173BB4">
              <w:rPr>
                <w:rFonts w:ascii="Times New Roman" w:eastAsia="Times New Roman" w:hAnsi="Times New Roman" w:cs="Times New Roman"/>
                <w:sz w:val="24"/>
                <w:szCs w:val="24"/>
                <w:lang w:val="en-US"/>
              </w:rPr>
              <w:t xml:space="preserve">2015 m. IV </w:t>
            </w:r>
            <w:proofErr w:type="spellStart"/>
            <w:r w:rsidRPr="00173BB4">
              <w:rPr>
                <w:rFonts w:ascii="Times New Roman" w:eastAsia="Times New Roman" w:hAnsi="Times New Roman" w:cs="Times New Roman"/>
                <w:sz w:val="24"/>
                <w:szCs w:val="24"/>
                <w:lang w:val="en-US"/>
              </w:rPr>
              <w:t>ketv</w:t>
            </w:r>
            <w:proofErr w:type="spellEnd"/>
            <w:r w:rsidRPr="00173BB4">
              <w:rPr>
                <w:rFonts w:ascii="Times New Roman" w:eastAsia="Times New Roman" w:hAnsi="Times New Roman" w:cs="Times New Roman"/>
                <w:sz w:val="24"/>
                <w:szCs w:val="24"/>
                <w:lang w:val="en-US"/>
              </w:rPr>
              <w:t>.</w:t>
            </w:r>
          </w:p>
        </w:tc>
        <w:tc>
          <w:tcPr>
            <w:tcW w:w="5670"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Calibri" w:hAnsi="Times New Roman" w:cs="Times New Roman"/>
                <w:bCs/>
                <w:sz w:val="24"/>
                <w:szCs w:val="24"/>
              </w:rPr>
              <w:t>Suorganizuota konferencija, kurioje bus pristatyti metodinio centro veiklos rezultatai bei profesinės reabilitacijos paslaugų teikimo ir kokybės užtikrinimo naujovės, dalyvaus ne mažiau kaip 60 asmenų</w:t>
            </w:r>
          </w:p>
        </w:tc>
      </w:tr>
      <w:tr w:rsidR="004456A6" w:rsidRPr="00173BB4" w:rsidTr="009A747B">
        <w:trPr>
          <w:trHeight w:val="1690"/>
        </w:trPr>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Pr="00173BB4">
              <w:rPr>
                <w:rFonts w:ascii="Times New Roman" w:eastAsia="Times New Roman" w:hAnsi="Times New Roman" w:cs="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Calibri" w:hAnsi="Times New Roman" w:cs="Times New Roman"/>
                <w:sz w:val="24"/>
                <w:szCs w:val="24"/>
              </w:rPr>
            </w:pPr>
            <w:r w:rsidRPr="00173BB4">
              <w:rPr>
                <w:rFonts w:ascii="Times New Roman" w:eastAsia="Calibri" w:hAnsi="Times New Roman" w:cs="Times New Roman"/>
                <w:sz w:val="24"/>
                <w:szCs w:val="24"/>
              </w:rPr>
              <w:t xml:space="preserve">Informacijos apie profesinės reabilitacijos paslaugų teikimo neįgaliesiems kokybės gerinimą ir sistemos tobulinimą viešinimas internetu bei spaudoje </w:t>
            </w:r>
          </w:p>
        </w:tc>
        <w:tc>
          <w:tcPr>
            <w:tcW w:w="2835"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Times New Roman" w:hAnsi="Times New Roman" w:cs="Times New Roman"/>
                <w:sz w:val="24"/>
                <w:szCs w:val="24"/>
                <w:lang w:val="en-US"/>
              </w:rPr>
              <w:t xml:space="preserve">2014 m. III–IV </w:t>
            </w:r>
            <w:proofErr w:type="spellStart"/>
            <w:r w:rsidRPr="00173BB4">
              <w:rPr>
                <w:rFonts w:ascii="Times New Roman" w:eastAsia="Times New Roman" w:hAnsi="Times New Roman" w:cs="Times New Roman"/>
                <w:sz w:val="24"/>
                <w:szCs w:val="24"/>
                <w:lang w:val="en-US"/>
              </w:rPr>
              <w:t>ketv</w:t>
            </w:r>
            <w:proofErr w:type="spellEnd"/>
            <w:r w:rsidRPr="00173BB4">
              <w:rPr>
                <w:rFonts w:ascii="Times New Roman" w:eastAsia="Times New Roman" w:hAnsi="Times New Roman" w:cs="Times New Roman"/>
                <w:sz w:val="24"/>
                <w:szCs w:val="24"/>
                <w:lang w:val="en-US"/>
              </w:rPr>
              <w:t>.</w:t>
            </w:r>
          </w:p>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lang w:val="en-US"/>
              </w:rPr>
            </w:pPr>
            <w:r w:rsidRPr="00173BB4">
              <w:rPr>
                <w:rFonts w:ascii="Times New Roman" w:eastAsia="Times New Roman" w:hAnsi="Times New Roman" w:cs="Times New Roman"/>
                <w:sz w:val="24"/>
                <w:szCs w:val="24"/>
                <w:lang w:val="en-US"/>
              </w:rPr>
              <w:t xml:space="preserve">2015 m. I–IV </w:t>
            </w:r>
            <w:proofErr w:type="spellStart"/>
            <w:r w:rsidRPr="00173BB4">
              <w:rPr>
                <w:rFonts w:ascii="Times New Roman" w:eastAsia="Times New Roman" w:hAnsi="Times New Roman" w:cs="Times New Roman"/>
                <w:sz w:val="24"/>
                <w:szCs w:val="24"/>
                <w:lang w:val="en-US"/>
              </w:rPr>
              <w:t>ketv</w:t>
            </w:r>
            <w:proofErr w:type="spellEnd"/>
            <w:r w:rsidRPr="00173BB4">
              <w:rPr>
                <w:rFonts w:ascii="Times New Roman" w:eastAsia="Times New Roman" w:hAnsi="Times New Roman" w:cs="Times New Roman"/>
                <w:sz w:val="24"/>
                <w:szCs w:val="24"/>
                <w:lang w:val="en-US"/>
              </w:rPr>
              <w:t>.</w:t>
            </w:r>
          </w:p>
        </w:tc>
        <w:tc>
          <w:tcPr>
            <w:tcW w:w="5670"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spacing w:after="160" w:line="240" w:lineRule="auto"/>
              <w:rPr>
                <w:rFonts w:ascii="Times New Roman" w:eastAsia="Calibri" w:hAnsi="Times New Roman" w:cs="Times New Roman"/>
                <w:bCs/>
                <w:sz w:val="24"/>
                <w:szCs w:val="24"/>
              </w:rPr>
            </w:pPr>
            <w:r w:rsidRPr="00173BB4">
              <w:rPr>
                <w:rFonts w:ascii="Times New Roman" w:eastAsia="Calibri" w:hAnsi="Times New Roman" w:cs="Times New Roman"/>
                <w:bCs/>
                <w:sz w:val="24"/>
                <w:szCs w:val="24"/>
              </w:rPr>
              <w:t xml:space="preserve">Kasmet parengtas ir publikuotas ne mažiau kaip 1 straipsnis spaudoje, kartą per ketvirtį parengtas ir publikuotas ne mažiau kaip 1 informacinis pranešimas metodinio centro, Neįgaliųjų reikalų departamento </w:t>
            </w:r>
            <w:r w:rsidRPr="00173BB4">
              <w:rPr>
                <w:rFonts w:ascii="Times New Roman" w:eastAsia="Calibri" w:hAnsi="Times New Roman" w:cs="Times New Roman"/>
                <w:sz w:val="24"/>
                <w:szCs w:val="24"/>
              </w:rPr>
              <w:t>bei neįgaliųjų organizacijų</w:t>
            </w:r>
            <w:r w:rsidRPr="00173BB4">
              <w:rPr>
                <w:rFonts w:ascii="Times New Roman" w:eastAsia="Calibri" w:hAnsi="Times New Roman" w:cs="Times New Roman"/>
                <w:bCs/>
                <w:sz w:val="24"/>
                <w:szCs w:val="24"/>
              </w:rPr>
              <w:t xml:space="preserve"> interneto svetainėse</w:t>
            </w:r>
          </w:p>
        </w:tc>
      </w:tr>
      <w:tr w:rsidR="004456A6" w:rsidRPr="00173BB4" w:rsidTr="009A747B">
        <w:trPr>
          <w:trHeight w:val="1715"/>
        </w:trPr>
        <w:tc>
          <w:tcPr>
            <w:tcW w:w="568"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Pr="00173BB4">
              <w:rPr>
                <w:rFonts w:ascii="Times New Roman" w:eastAsia="Times New Roman" w:hAnsi="Times New Roman" w:cs="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Calibri" w:hAnsi="Times New Roman" w:cs="Times New Roman"/>
                <w:sz w:val="24"/>
                <w:szCs w:val="24"/>
              </w:rPr>
            </w:pPr>
            <w:r w:rsidRPr="00173BB4">
              <w:rPr>
                <w:rFonts w:ascii="Times New Roman" w:eastAsia="Calibri" w:hAnsi="Times New Roman" w:cs="Times New Roman"/>
                <w:sz w:val="24"/>
                <w:szCs w:val="24"/>
              </w:rPr>
              <w:t>Bendradarbiavimo su partneriais veiklų organizavimas</w:t>
            </w:r>
          </w:p>
        </w:tc>
        <w:tc>
          <w:tcPr>
            <w:tcW w:w="2835"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tabs>
                <w:tab w:val="left" w:pos="7740"/>
                <w:tab w:val="right" w:pos="8640"/>
              </w:tabs>
              <w:spacing w:after="0" w:line="240" w:lineRule="auto"/>
              <w:rPr>
                <w:rFonts w:ascii="Times New Roman" w:eastAsia="Times New Roman" w:hAnsi="Times New Roman" w:cs="Times New Roman"/>
                <w:sz w:val="24"/>
                <w:szCs w:val="24"/>
              </w:rPr>
            </w:pPr>
            <w:r w:rsidRPr="00173BB4">
              <w:rPr>
                <w:rFonts w:ascii="Times New Roman" w:eastAsia="Times New Roman" w:hAnsi="Times New Roman" w:cs="Times New Roman"/>
                <w:sz w:val="24"/>
                <w:szCs w:val="24"/>
              </w:rPr>
              <w:t xml:space="preserve">2015 m. I ir III </w:t>
            </w:r>
            <w:proofErr w:type="spellStart"/>
            <w:r w:rsidRPr="00173BB4">
              <w:rPr>
                <w:rFonts w:ascii="Times New Roman" w:eastAsia="Times New Roman" w:hAnsi="Times New Roman" w:cs="Times New Roman"/>
                <w:sz w:val="24"/>
                <w:szCs w:val="24"/>
              </w:rPr>
              <w:t>ketv</w:t>
            </w:r>
            <w:proofErr w:type="spellEnd"/>
            <w:r w:rsidRPr="00173BB4">
              <w:rPr>
                <w:rFonts w:ascii="Times New Roman" w:eastAsia="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4456A6" w:rsidRPr="00173BB4" w:rsidRDefault="004456A6" w:rsidP="00CF7E67">
            <w:pPr>
              <w:spacing w:after="160" w:line="240" w:lineRule="auto"/>
              <w:rPr>
                <w:rFonts w:ascii="Times New Roman" w:eastAsia="Calibri" w:hAnsi="Times New Roman" w:cs="Times New Roman"/>
                <w:bCs/>
                <w:sz w:val="24"/>
                <w:szCs w:val="24"/>
              </w:rPr>
            </w:pPr>
            <w:r w:rsidRPr="00173BB4">
              <w:rPr>
                <w:rFonts w:ascii="Times New Roman" w:eastAsia="Calibri" w:hAnsi="Times New Roman" w:cs="Times New Roman"/>
                <w:bCs/>
                <w:sz w:val="24"/>
                <w:szCs w:val="24"/>
              </w:rPr>
              <w:t>Suorganizuotos ne mažiau kaip dvi apskrito stalo diskusijos profesinės reabilitacijos paslaugų teikimo kokybės gerinimo bei efektyvumo didinimo klausimais, kuriose dalyvaus ne mažiau kaip 30 suinteresuotų šalių atstovų – darbdavių, paslaugų gavėjų, paslaugų teikėjų ir kt.</w:t>
            </w:r>
          </w:p>
        </w:tc>
      </w:tr>
    </w:tbl>
    <w:p w:rsidR="00173BB4" w:rsidRPr="00173BB4" w:rsidRDefault="00173BB4" w:rsidP="00CF7E67">
      <w:pPr>
        <w:tabs>
          <w:tab w:val="left" w:pos="7740"/>
          <w:tab w:val="right" w:pos="8640"/>
        </w:tabs>
        <w:spacing w:after="0" w:line="240" w:lineRule="auto"/>
        <w:rPr>
          <w:rFonts w:ascii="Times New Roman" w:eastAsia="Times New Roman" w:hAnsi="Times New Roman" w:cs="Times New Roman"/>
          <w:sz w:val="24"/>
          <w:szCs w:val="24"/>
        </w:rPr>
      </w:pPr>
    </w:p>
    <w:p w:rsidR="00274FAB" w:rsidRDefault="00173BB4" w:rsidP="00173BB4">
      <w:pPr>
        <w:jc w:val="center"/>
      </w:pPr>
      <w:r w:rsidRPr="00173BB4">
        <w:rPr>
          <w:rFonts w:ascii="Times New Roman" w:eastAsia="Times New Roman" w:hAnsi="Times New Roman" w:cs="Times New Roman"/>
          <w:sz w:val="24"/>
          <w:szCs w:val="24"/>
          <w:lang w:val="en-US"/>
        </w:rPr>
        <w:t>________________</w:t>
      </w:r>
      <w:r>
        <w:rPr>
          <w:rFonts w:ascii="Times New Roman" w:eastAsia="Times New Roman" w:hAnsi="Times New Roman" w:cs="Times New Roman"/>
          <w:sz w:val="24"/>
          <w:szCs w:val="24"/>
          <w:lang w:val="en-US"/>
        </w:rPr>
        <w:t>_____</w:t>
      </w:r>
      <w:r w:rsidR="00801A7B">
        <w:rPr>
          <w:rFonts w:ascii="Times New Roman" w:eastAsia="Times New Roman" w:hAnsi="Times New Roman" w:cs="Times New Roman"/>
          <w:sz w:val="24"/>
          <w:szCs w:val="24"/>
          <w:lang w:val="en-US"/>
        </w:rPr>
        <w:t>_______________</w:t>
      </w:r>
    </w:p>
    <w:sectPr w:rsidR="00274FAB" w:rsidSect="00801A7B">
      <w:headerReference w:type="default" r:id="rId8"/>
      <w:pgSz w:w="16838" w:h="11906" w:orient="landscape"/>
      <w:pgMar w:top="1418"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E6" w:rsidRDefault="000416E6" w:rsidP="00F869B3">
      <w:pPr>
        <w:spacing w:after="0" w:line="240" w:lineRule="auto"/>
      </w:pPr>
      <w:r>
        <w:separator/>
      </w:r>
    </w:p>
  </w:endnote>
  <w:endnote w:type="continuationSeparator" w:id="0">
    <w:p w:rsidR="000416E6" w:rsidRDefault="000416E6" w:rsidP="00F8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E6" w:rsidRDefault="000416E6" w:rsidP="00F869B3">
      <w:pPr>
        <w:spacing w:after="0" w:line="240" w:lineRule="auto"/>
      </w:pPr>
      <w:r>
        <w:separator/>
      </w:r>
    </w:p>
  </w:footnote>
  <w:footnote w:type="continuationSeparator" w:id="0">
    <w:p w:rsidR="000416E6" w:rsidRDefault="000416E6" w:rsidP="00F8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0273"/>
      <w:docPartObj>
        <w:docPartGallery w:val="Page Numbers (Top of Page)"/>
        <w:docPartUnique/>
      </w:docPartObj>
    </w:sdtPr>
    <w:sdtEndPr>
      <w:rPr>
        <w:noProof/>
      </w:rPr>
    </w:sdtEndPr>
    <w:sdtContent>
      <w:p w:rsidR="00F869B3" w:rsidRDefault="00F869B3">
        <w:pPr>
          <w:pStyle w:val="Header"/>
          <w:jc w:val="center"/>
        </w:pPr>
        <w:r>
          <w:fldChar w:fldCharType="begin"/>
        </w:r>
        <w:r>
          <w:instrText xml:space="preserve"> PAGE   \* MERGEFORMAT </w:instrText>
        </w:r>
        <w:r>
          <w:fldChar w:fldCharType="separate"/>
        </w:r>
        <w:r w:rsidR="009A747B">
          <w:rPr>
            <w:noProof/>
          </w:rPr>
          <w:t>3</w:t>
        </w:r>
        <w:r>
          <w:rPr>
            <w:noProof/>
          </w:rPr>
          <w:fldChar w:fldCharType="end"/>
        </w:r>
      </w:p>
    </w:sdtContent>
  </w:sdt>
  <w:p w:rsidR="00F869B3" w:rsidRDefault="00F86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B4"/>
    <w:rsid w:val="00002980"/>
    <w:rsid w:val="000416E6"/>
    <w:rsid w:val="00173BB4"/>
    <w:rsid w:val="001F75A1"/>
    <w:rsid w:val="00274FAB"/>
    <w:rsid w:val="002752E8"/>
    <w:rsid w:val="0028172B"/>
    <w:rsid w:val="002D79D3"/>
    <w:rsid w:val="00332566"/>
    <w:rsid w:val="003A6205"/>
    <w:rsid w:val="004456A6"/>
    <w:rsid w:val="004A3C53"/>
    <w:rsid w:val="004E776C"/>
    <w:rsid w:val="004E79A5"/>
    <w:rsid w:val="004E7D26"/>
    <w:rsid w:val="00523244"/>
    <w:rsid w:val="00524EAB"/>
    <w:rsid w:val="00531260"/>
    <w:rsid w:val="00546B07"/>
    <w:rsid w:val="00606BC2"/>
    <w:rsid w:val="0065184A"/>
    <w:rsid w:val="00667FF3"/>
    <w:rsid w:val="00684609"/>
    <w:rsid w:val="006D314E"/>
    <w:rsid w:val="00712A7E"/>
    <w:rsid w:val="0073234C"/>
    <w:rsid w:val="007563A3"/>
    <w:rsid w:val="00801A7B"/>
    <w:rsid w:val="008217B7"/>
    <w:rsid w:val="00851494"/>
    <w:rsid w:val="00861E69"/>
    <w:rsid w:val="00903BCE"/>
    <w:rsid w:val="00932DBC"/>
    <w:rsid w:val="009A747B"/>
    <w:rsid w:val="009C43A9"/>
    <w:rsid w:val="00A02CC1"/>
    <w:rsid w:val="00A13A57"/>
    <w:rsid w:val="00A151ED"/>
    <w:rsid w:val="00A44A21"/>
    <w:rsid w:val="00AA36EC"/>
    <w:rsid w:val="00AE2AD5"/>
    <w:rsid w:val="00B655BE"/>
    <w:rsid w:val="00B72FB3"/>
    <w:rsid w:val="00B73127"/>
    <w:rsid w:val="00B75747"/>
    <w:rsid w:val="00C31F3A"/>
    <w:rsid w:val="00C83EF0"/>
    <w:rsid w:val="00CF2072"/>
    <w:rsid w:val="00CF7E67"/>
    <w:rsid w:val="00D2720F"/>
    <w:rsid w:val="00D27BFA"/>
    <w:rsid w:val="00D56D84"/>
    <w:rsid w:val="00D72B46"/>
    <w:rsid w:val="00D95C58"/>
    <w:rsid w:val="00D9728B"/>
    <w:rsid w:val="00E57FE0"/>
    <w:rsid w:val="00E97B04"/>
    <w:rsid w:val="00EA13ED"/>
    <w:rsid w:val="00F14411"/>
    <w:rsid w:val="00F869B3"/>
    <w:rsid w:val="00FA1A51"/>
    <w:rsid w:val="00FC02B6"/>
    <w:rsid w:val="00FC3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2E8"/>
    <w:rPr>
      <w:color w:val="1E63AC"/>
      <w:u w:val="single"/>
    </w:rPr>
  </w:style>
  <w:style w:type="paragraph" w:styleId="Header">
    <w:name w:val="header"/>
    <w:basedOn w:val="Normal"/>
    <w:link w:val="HeaderChar"/>
    <w:uiPriority w:val="99"/>
    <w:unhideWhenUsed/>
    <w:rsid w:val="00F869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69B3"/>
  </w:style>
  <w:style w:type="paragraph" w:styleId="Footer">
    <w:name w:val="footer"/>
    <w:basedOn w:val="Normal"/>
    <w:link w:val="FooterChar"/>
    <w:uiPriority w:val="99"/>
    <w:unhideWhenUsed/>
    <w:rsid w:val="00F869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69B3"/>
  </w:style>
  <w:style w:type="paragraph" w:styleId="BalloonText">
    <w:name w:val="Balloon Text"/>
    <w:basedOn w:val="Normal"/>
    <w:link w:val="BalloonTextChar"/>
    <w:uiPriority w:val="99"/>
    <w:semiHidden/>
    <w:unhideWhenUsed/>
    <w:rsid w:val="00A4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52E8"/>
    <w:rPr>
      <w:color w:val="1E63AC"/>
      <w:u w:val="single"/>
    </w:rPr>
  </w:style>
  <w:style w:type="paragraph" w:styleId="Header">
    <w:name w:val="header"/>
    <w:basedOn w:val="Normal"/>
    <w:link w:val="HeaderChar"/>
    <w:uiPriority w:val="99"/>
    <w:unhideWhenUsed/>
    <w:rsid w:val="00F869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69B3"/>
  </w:style>
  <w:style w:type="paragraph" w:styleId="Footer">
    <w:name w:val="footer"/>
    <w:basedOn w:val="Normal"/>
    <w:link w:val="FooterChar"/>
    <w:uiPriority w:val="99"/>
    <w:unhideWhenUsed/>
    <w:rsid w:val="00F869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69B3"/>
  </w:style>
  <w:style w:type="paragraph" w:styleId="BalloonText">
    <w:name w:val="Balloon Text"/>
    <w:basedOn w:val="Normal"/>
    <w:link w:val="BalloonTextChar"/>
    <w:uiPriority w:val="99"/>
    <w:semiHidden/>
    <w:unhideWhenUsed/>
    <w:rsid w:val="00A4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6516">
      <w:bodyDiv w:val="1"/>
      <w:marLeft w:val="0"/>
      <w:marRight w:val="0"/>
      <w:marTop w:val="0"/>
      <w:marBottom w:val="0"/>
      <w:divBdr>
        <w:top w:val="none" w:sz="0" w:space="0" w:color="auto"/>
        <w:left w:val="none" w:sz="0" w:space="0" w:color="auto"/>
        <w:bottom w:val="none" w:sz="0" w:space="0" w:color="auto"/>
        <w:right w:val="none" w:sz="0" w:space="0" w:color="auto"/>
      </w:divBdr>
    </w:div>
    <w:div w:id="16636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6216-B402-4F1D-877E-D37395E1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4559</Words>
  <Characters>2600</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Mykolaitienė</dc:creator>
  <cp:lastModifiedBy>Jolanta Mikulėnienė</cp:lastModifiedBy>
  <cp:revision>4</cp:revision>
  <cp:lastPrinted>2015-04-07T16:02:00Z</cp:lastPrinted>
  <dcterms:created xsi:type="dcterms:W3CDTF">2015-04-02T10:26:00Z</dcterms:created>
  <dcterms:modified xsi:type="dcterms:W3CDTF">2015-04-07T16:02:00Z</dcterms:modified>
</cp:coreProperties>
</file>