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9ED4A" w14:textId="39F2B1C1" w:rsidR="00630AC6" w:rsidRDefault="00E05CB1" w:rsidP="00E05CB1">
      <w:pPr>
        <w:jc w:val="center"/>
        <w:rPr>
          <w:b/>
          <w:bCs/>
        </w:rPr>
      </w:pPr>
      <w:r w:rsidRPr="00E05CB1">
        <w:rPr>
          <w:b/>
          <w:bCs/>
        </w:rPr>
        <w:t>Dėl mokėjimo už asmeninę pagalbą</w:t>
      </w:r>
    </w:p>
    <w:tbl>
      <w:tblPr>
        <w:tblStyle w:val="Lentelstinklelis"/>
        <w:tblW w:w="0" w:type="auto"/>
        <w:tblLook w:val="04A0" w:firstRow="1" w:lastRow="0" w:firstColumn="1" w:lastColumn="0" w:noHBand="0" w:noVBand="1"/>
      </w:tblPr>
      <w:tblGrid>
        <w:gridCol w:w="1555"/>
        <w:gridCol w:w="7506"/>
      </w:tblGrid>
      <w:tr w:rsidR="00E05CB1" w14:paraId="67AD3B96" w14:textId="77777777" w:rsidTr="00143F55">
        <w:tc>
          <w:tcPr>
            <w:tcW w:w="9061" w:type="dxa"/>
            <w:gridSpan w:val="2"/>
          </w:tcPr>
          <w:p w14:paraId="0408FBB7" w14:textId="182FEDAD" w:rsidR="00E05CB1" w:rsidRDefault="00E05CB1" w:rsidP="00E05CB1">
            <w:pPr>
              <w:jc w:val="center"/>
              <w:rPr>
                <w:b/>
                <w:bCs/>
              </w:rPr>
            </w:pPr>
            <w:r>
              <w:rPr>
                <w:b/>
                <w:bCs/>
              </w:rPr>
              <w:t>Teisės aktai, reglamentuojantys asmens mokėjimą</w:t>
            </w:r>
          </w:p>
        </w:tc>
      </w:tr>
      <w:tr w:rsidR="00E05CB1" w14:paraId="35DDF572" w14:textId="77777777" w:rsidTr="00E05CB1">
        <w:tc>
          <w:tcPr>
            <w:tcW w:w="1555" w:type="dxa"/>
          </w:tcPr>
          <w:p w14:paraId="2D2D34E9" w14:textId="18F5A436" w:rsidR="00E05CB1" w:rsidRPr="00E05CB1" w:rsidRDefault="00E05CB1" w:rsidP="00E05CB1">
            <w:pPr>
              <w:jc w:val="center"/>
              <w:rPr>
                <w:rFonts w:ascii="Times New Roman" w:hAnsi="Times New Roman" w:cs="Times New Roman"/>
                <w:b/>
                <w:bCs/>
              </w:rPr>
            </w:pPr>
            <w:r w:rsidRPr="00E05CB1">
              <w:rPr>
                <w:rFonts w:ascii="Times New Roman" w:hAnsi="Times New Roman" w:cs="Times New Roman"/>
                <w:b/>
                <w:bCs/>
              </w:rPr>
              <w:t>Neįgaliųjų socialinės integracijos įstatymo 25</w:t>
            </w:r>
            <w:r w:rsidRPr="00E05CB1">
              <w:rPr>
                <w:rFonts w:ascii="Times New Roman" w:hAnsi="Times New Roman" w:cs="Times New Roman"/>
                <w:b/>
                <w:bCs/>
                <w:vertAlign w:val="superscript"/>
              </w:rPr>
              <w:t>1</w:t>
            </w:r>
            <w:r w:rsidRPr="00E05CB1">
              <w:rPr>
                <w:rFonts w:ascii="Times New Roman" w:hAnsi="Times New Roman" w:cs="Times New Roman"/>
                <w:b/>
                <w:bCs/>
              </w:rPr>
              <w:t xml:space="preserve"> straipsnis</w:t>
            </w:r>
          </w:p>
        </w:tc>
        <w:tc>
          <w:tcPr>
            <w:tcW w:w="7506" w:type="dxa"/>
          </w:tcPr>
          <w:p w14:paraId="3A53A497" w14:textId="16C3F5EC" w:rsidR="00E05CB1" w:rsidRPr="00E05CB1" w:rsidRDefault="00E05CB1" w:rsidP="00E05CB1">
            <w:pPr>
              <w:jc w:val="both"/>
              <w:rPr>
                <w:rFonts w:ascii="Times New Roman" w:hAnsi="Times New Roman" w:cs="Times New Roman"/>
              </w:rPr>
            </w:pPr>
            <w:r w:rsidRPr="00E05CB1">
              <w:rPr>
                <w:rFonts w:ascii="Times New Roman" w:hAnsi="Times New Roman" w:cs="Times New Roman"/>
              </w:rPr>
              <w:t xml:space="preserve">Neįgaliojo mokėjimo už asmeninę pagalbą </w:t>
            </w:r>
            <w:r w:rsidRPr="00E05CB1">
              <w:rPr>
                <w:rFonts w:ascii="Times New Roman" w:hAnsi="Times New Roman" w:cs="Times New Roman"/>
                <w:b/>
                <w:bCs/>
              </w:rPr>
              <w:t>dydis negali viršyti 20 procentų asmeninės pagalbos teikimo išlaidų dydžio ir negali būti didesnis negu 20 procentų neįgaliojo pajamų,</w:t>
            </w:r>
            <w:r w:rsidRPr="00E05CB1">
              <w:rPr>
                <w:rFonts w:ascii="Times New Roman" w:hAnsi="Times New Roman" w:cs="Times New Roman"/>
              </w:rPr>
              <w:t xml:space="preserve"> nustatytų ir apskaičiuojamų vadovaujantis Socialinių paslaugų įstatymo 30 straipsniu. Asmeninė pagalba teikiama nemokamai neįgaliajam, kurio pajamos yra mažesnės negu 2 valstybės remiamų pajamų dydžiai. Neįgaliojo mokėjimo už asmeninę pagalbą dydį nustato savivaldybės vykdomoji institucija, vadovaudamasi Vyriausybės ar jos įgaliotos institucijos nustatyta tvarka.</w:t>
            </w:r>
          </w:p>
        </w:tc>
      </w:tr>
      <w:tr w:rsidR="00E05CB1" w14:paraId="3D9DC22F" w14:textId="77777777" w:rsidTr="00E05CB1">
        <w:tc>
          <w:tcPr>
            <w:tcW w:w="1555" w:type="dxa"/>
          </w:tcPr>
          <w:p w14:paraId="7BD3D01A" w14:textId="55528732" w:rsidR="00E05CB1" w:rsidRPr="00E05CB1" w:rsidRDefault="00E05CB1" w:rsidP="00E05CB1">
            <w:pPr>
              <w:jc w:val="center"/>
              <w:rPr>
                <w:rFonts w:ascii="Times New Roman" w:hAnsi="Times New Roman" w:cs="Times New Roman"/>
                <w:b/>
                <w:bCs/>
              </w:rPr>
            </w:pPr>
            <w:r w:rsidRPr="00E05CB1">
              <w:rPr>
                <w:rFonts w:ascii="Times New Roman" w:hAnsi="Times New Roman" w:cs="Times New Roman"/>
                <w:b/>
                <w:bCs/>
              </w:rPr>
              <w:t>Neįgaliojo mokėjimo už asmeninę pagalbą dydžio nustatymo tvarkos aprašą</w:t>
            </w:r>
          </w:p>
        </w:tc>
        <w:tc>
          <w:tcPr>
            <w:tcW w:w="7506" w:type="dxa"/>
          </w:tcPr>
          <w:p w14:paraId="05934C8F" w14:textId="01E7888C" w:rsidR="00E05CB1" w:rsidRPr="00E05CB1" w:rsidRDefault="00E05CB1" w:rsidP="00E05CB1">
            <w:pPr>
              <w:jc w:val="both"/>
              <w:rPr>
                <w:rFonts w:ascii="Times New Roman" w:hAnsi="Times New Roman" w:cs="Times New Roman"/>
              </w:rPr>
            </w:pPr>
            <w:r w:rsidRPr="00E05CB1">
              <w:rPr>
                <w:rFonts w:ascii="Times New Roman" w:hAnsi="Times New Roman" w:cs="Times New Roman"/>
              </w:rPr>
              <w:t>1. asmens, kurio pajamos yra 2 VRP dydžiai arba didesnės už 2 VRP dydžius, bet mažesnės už 3 VRP dydžius, mokėjimo už asmeninę pagalbą dydis neturi viršyti 5 procentų asmens pajamų;</w:t>
            </w:r>
          </w:p>
          <w:p w14:paraId="5DA433D1" w14:textId="6DF466B3" w:rsidR="00E05CB1" w:rsidRPr="00E05CB1" w:rsidRDefault="00E05CB1" w:rsidP="00E05CB1">
            <w:pPr>
              <w:jc w:val="both"/>
              <w:rPr>
                <w:rFonts w:ascii="Times New Roman" w:hAnsi="Times New Roman" w:cs="Times New Roman"/>
              </w:rPr>
            </w:pPr>
            <w:r w:rsidRPr="00E05CB1">
              <w:rPr>
                <w:rFonts w:ascii="Times New Roman" w:hAnsi="Times New Roman" w:cs="Times New Roman"/>
              </w:rPr>
              <w:t>2. asmens, kurio pajamos yra 3 VRP dydžiai arba didesnės už 3 VRP dydžius, bet mažesnės už 4 VRP dydžius, mokėjimo už asmeninę pagalbą dydis neturi viršyti 10 procentų asmens pajamų;</w:t>
            </w:r>
          </w:p>
          <w:p w14:paraId="573BC314" w14:textId="52FA699D" w:rsidR="00E05CB1" w:rsidRPr="00E05CB1" w:rsidRDefault="00E05CB1" w:rsidP="00E05CB1">
            <w:pPr>
              <w:jc w:val="both"/>
              <w:rPr>
                <w:rFonts w:ascii="Times New Roman" w:hAnsi="Times New Roman" w:cs="Times New Roman"/>
              </w:rPr>
            </w:pPr>
            <w:r w:rsidRPr="00E05CB1">
              <w:rPr>
                <w:rFonts w:ascii="Times New Roman" w:hAnsi="Times New Roman" w:cs="Times New Roman"/>
              </w:rPr>
              <w:t>3. asmens, kurio pajamos yra 4 VRP dydžiai arba didesnės už 4 VRP dydžius, bet mažesnės už 5 VRP dydžius, mokėjimo už asmeninę pagalbą dydis neturi viršyti 15 procentų asmens pajamų;</w:t>
            </w:r>
          </w:p>
          <w:p w14:paraId="2F86FDED" w14:textId="77777777" w:rsidR="00E05CB1" w:rsidRDefault="00E05CB1" w:rsidP="00E05CB1">
            <w:pPr>
              <w:jc w:val="both"/>
              <w:rPr>
                <w:rFonts w:ascii="Times New Roman" w:hAnsi="Times New Roman" w:cs="Times New Roman"/>
              </w:rPr>
            </w:pPr>
            <w:r w:rsidRPr="00E05CB1">
              <w:rPr>
                <w:rFonts w:ascii="Times New Roman" w:hAnsi="Times New Roman" w:cs="Times New Roman"/>
              </w:rPr>
              <w:t>4. asmens, kurio pajamos yra 5 VRP dydžiai arba didesnės už 5 VRP dydžius, mokėjimo už asmeninę pagalbą dydis neturi viršyti 20 procentų asmens pajamų.</w:t>
            </w:r>
          </w:p>
          <w:p w14:paraId="61E6C9F1" w14:textId="77777777" w:rsidR="00E05CB1" w:rsidRDefault="00E05CB1" w:rsidP="00E05CB1">
            <w:pPr>
              <w:jc w:val="both"/>
              <w:rPr>
                <w:rFonts w:ascii="Times New Roman" w:hAnsi="Times New Roman" w:cs="Times New Roman"/>
              </w:rPr>
            </w:pPr>
          </w:p>
          <w:p w14:paraId="7C4D2943" w14:textId="7BBEC777" w:rsidR="00E05CB1" w:rsidRPr="00E05CB1" w:rsidRDefault="00E05CB1" w:rsidP="00E05CB1">
            <w:pPr>
              <w:jc w:val="both"/>
              <w:rPr>
                <w:rFonts w:ascii="Times New Roman" w:hAnsi="Times New Roman" w:cs="Times New Roman"/>
                <w:b/>
                <w:bCs/>
              </w:rPr>
            </w:pPr>
            <w:r w:rsidRPr="00E05CB1">
              <w:rPr>
                <w:rFonts w:ascii="Times New Roman" w:hAnsi="Times New Roman" w:cs="Times New Roman"/>
              </w:rPr>
              <w:t>Asmuo, turintis teisę gauti asmeninę pagalbą, turi teisę tuo pat metu gauti ir socialinės priežiūros paslaugas arba dienos socialinę globą</w:t>
            </w:r>
            <w:r>
              <w:rPr>
                <w:rFonts w:ascii="Times New Roman" w:hAnsi="Times New Roman" w:cs="Times New Roman"/>
              </w:rPr>
              <w:t xml:space="preserve">. </w:t>
            </w:r>
            <w:r w:rsidRPr="00E05CB1">
              <w:rPr>
                <w:rFonts w:ascii="Times New Roman" w:hAnsi="Times New Roman" w:cs="Times New Roman"/>
                <w:b/>
                <w:bCs/>
              </w:rPr>
              <w:t>Tai reiškia, kad asmeniui neribojamas socialinių paslaugų gavimas.</w:t>
            </w:r>
          </w:p>
          <w:p w14:paraId="58EFB4BB" w14:textId="05A6733D" w:rsidR="00E05CB1" w:rsidRDefault="00E05CB1" w:rsidP="00E05CB1">
            <w:pPr>
              <w:jc w:val="both"/>
              <w:rPr>
                <w:rFonts w:ascii="Times New Roman" w:hAnsi="Times New Roman" w:cs="Times New Roman"/>
                <w:b/>
                <w:bCs/>
              </w:rPr>
            </w:pPr>
            <w:r w:rsidRPr="00E05CB1">
              <w:rPr>
                <w:rFonts w:ascii="Times New Roman" w:hAnsi="Times New Roman" w:cs="Times New Roman"/>
              </w:rPr>
              <w:t>Jei asmeniui nustatomas poreikis gauti asmeninę pagalbą ir socialinės priežiūros paslaugas arba dienos socialinę globą, asmens mokėjimo už asmeninę pagalbą dydis apskaičiuojamas atskaičius mokėjimo už socialinės priežiūros paslaugas arba dienos socialinę globą išlaidas</w:t>
            </w:r>
            <w:r w:rsidR="00256297">
              <w:rPr>
                <w:rFonts w:ascii="Times New Roman" w:hAnsi="Times New Roman" w:cs="Times New Roman"/>
              </w:rPr>
              <w:t xml:space="preserve">. </w:t>
            </w:r>
            <w:r w:rsidR="00256297" w:rsidRPr="00256297">
              <w:rPr>
                <w:rFonts w:ascii="Times New Roman" w:hAnsi="Times New Roman" w:cs="Times New Roman"/>
                <w:b/>
                <w:bCs/>
              </w:rPr>
              <w:t>Tai reiškia, kad pirmiausia apskaičiuojama kiek asmuo turi mokėti už socialines paslaugas</w:t>
            </w:r>
            <w:r w:rsidR="00256297">
              <w:rPr>
                <w:rFonts w:ascii="Times New Roman" w:hAnsi="Times New Roman" w:cs="Times New Roman"/>
                <w:b/>
                <w:bCs/>
              </w:rPr>
              <w:t xml:space="preserve"> ir tik tuomet, atėmus asmens mokamą sumą už socialines paslaugas, skaičiuojamos asmens mokėjimo galimybės už asmeninę pagalbą nuo likusių asmens pajamų.</w:t>
            </w:r>
          </w:p>
          <w:p w14:paraId="5D9F9EA2" w14:textId="77777777" w:rsidR="00256297" w:rsidRDefault="00256297" w:rsidP="00E05CB1">
            <w:pPr>
              <w:jc w:val="both"/>
              <w:rPr>
                <w:rFonts w:ascii="Times New Roman" w:hAnsi="Times New Roman" w:cs="Times New Roman"/>
                <w:b/>
                <w:bCs/>
              </w:rPr>
            </w:pPr>
          </w:p>
          <w:p w14:paraId="07E37F78" w14:textId="280C946A" w:rsidR="00256297" w:rsidRPr="00E05CB1" w:rsidRDefault="00256297" w:rsidP="00E05CB1">
            <w:pPr>
              <w:jc w:val="both"/>
              <w:rPr>
                <w:rFonts w:ascii="Times New Roman" w:hAnsi="Times New Roman" w:cs="Times New Roman"/>
                <w:b/>
                <w:bCs/>
              </w:rPr>
            </w:pPr>
            <w:r>
              <w:rPr>
                <w:rFonts w:ascii="Times New Roman" w:hAnsi="Times New Roman" w:cs="Times New Roman"/>
                <w:b/>
                <w:bCs/>
              </w:rPr>
              <w:t>Pvz., asmens pajamos 500 Eur. Asmuo gauna socialinės priežiūros paslaugas ir nori gauti asmeninę pagalbą. Už socialinės priežiūros paslaugas asmuo moka 50 Eur. tai asmens mokėjimo galimybės už asmeninę pagalbą bus skaičiuojamos nuo 450 Eur.</w:t>
            </w:r>
          </w:p>
        </w:tc>
      </w:tr>
    </w:tbl>
    <w:p w14:paraId="2E9A15F3" w14:textId="4F95A4E3" w:rsidR="00E05CB1" w:rsidRDefault="00E05CB1" w:rsidP="00E05CB1">
      <w:pPr>
        <w:jc w:val="center"/>
        <w:rPr>
          <w:b/>
          <w:bCs/>
        </w:rPr>
      </w:pPr>
    </w:p>
    <w:tbl>
      <w:tblPr>
        <w:tblW w:w="9062" w:type="dxa"/>
        <w:tblCellMar>
          <w:left w:w="0" w:type="dxa"/>
          <w:right w:w="0" w:type="dxa"/>
        </w:tblCellMar>
        <w:tblLook w:val="04A0" w:firstRow="1" w:lastRow="0" w:firstColumn="1" w:lastColumn="0" w:noHBand="0" w:noVBand="1"/>
      </w:tblPr>
      <w:tblGrid>
        <w:gridCol w:w="3109"/>
        <w:gridCol w:w="2977"/>
        <w:gridCol w:w="2976"/>
      </w:tblGrid>
      <w:tr w:rsidR="00256297" w:rsidRPr="00256297" w14:paraId="5494874A" w14:textId="77777777" w:rsidTr="00256297">
        <w:trPr>
          <w:trHeight w:val="433"/>
        </w:trPr>
        <w:tc>
          <w:tcPr>
            <w:tcW w:w="3109" w:type="dxa"/>
            <w:tcBorders>
              <w:top w:val="single" w:sz="8" w:space="0" w:color="FFFFFF"/>
              <w:left w:val="single" w:sz="8" w:space="0" w:color="FFFFFF"/>
              <w:bottom w:val="single" w:sz="24" w:space="0" w:color="FFFFFF"/>
              <w:right w:val="single" w:sz="8" w:space="0" w:color="FFFFFF"/>
            </w:tcBorders>
            <w:shd w:val="clear" w:color="auto" w:fill="2052A0"/>
            <w:tcMar>
              <w:top w:w="15" w:type="dxa"/>
              <w:left w:w="66" w:type="dxa"/>
              <w:bottom w:w="0" w:type="dxa"/>
              <w:right w:w="66" w:type="dxa"/>
            </w:tcMar>
            <w:hideMark/>
          </w:tcPr>
          <w:p w14:paraId="3FBA69C4"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b/>
                <w:bCs/>
                <w:color w:val="FFFFFF" w:themeColor="light1"/>
                <w:kern w:val="24"/>
                <w:sz w:val="20"/>
                <w:szCs w:val="20"/>
                <w:lang w:eastAsia="lt-LT"/>
              </w:rPr>
              <w:t>Viršutinė mokėjimo riba</w:t>
            </w:r>
          </w:p>
        </w:tc>
        <w:tc>
          <w:tcPr>
            <w:tcW w:w="2977" w:type="dxa"/>
            <w:tcBorders>
              <w:top w:val="single" w:sz="8" w:space="0" w:color="FFFFFF"/>
              <w:left w:val="single" w:sz="8" w:space="0" w:color="FFFFFF"/>
              <w:bottom w:val="single" w:sz="24" w:space="0" w:color="FFFFFF"/>
              <w:right w:val="single" w:sz="8" w:space="0" w:color="FFFFFF"/>
            </w:tcBorders>
            <w:shd w:val="clear" w:color="auto" w:fill="2052A0"/>
            <w:tcMar>
              <w:top w:w="15" w:type="dxa"/>
              <w:left w:w="66" w:type="dxa"/>
              <w:bottom w:w="0" w:type="dxa"/>
              <w:right w:w="66" w:type="dxa"/>
            </w:tcMar>
            <w:hideMark/>
          </w:tcPr>
          <w:p w14:paraId="6D7865D5"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b/>
                <w:bCs/>
                <w:color w:val="FFFFFF" w:themeColor="light1"/>
                <w:kern w:val="24"/>
                <w:sz w:val="20"/>
                <w:szCs w:val="20"/>
                <w:lang w:eastAsia="lt-LT"/>
              </w:rPr>
              <w:t>Pajamų dydžiai</w:t>
            </w:r>
          </w:p>
        </w:tc>
        <w:tc>
          <w:tcPr>
            <w:tcW w:w="2976" w:type="dxa"/>
            <w:tcBorders>
              <w:top w:val="single" w:sz="8" w:space="0" w:color="FFFFFF"/>
              <w:left w:val="single" w:sz="8" w:space="0" w:color="FFFFFF"/>
              <w:bottom w:val="single" w:sz="24" w:space="0" w:color="FFFFFF"/>
              <w:right w:val="single" w:sz="8" w:space="0" w:color="FFFFFF"/>
            </w:tcBorders>
            <w:shd w:val="clear" w:color="auto" w:fill="2052A0"/>
            <w:tcMar>
              <w:top w:w="15" w:type="dxa"/>
              <w:left w:w="66" w:type="dxa"/>
              <w:bottom w:w="0" w:type="dxa"/>
              <w:right w:w="66" w:type="dxa"/>
            </w:tcMar>
            <w:hideMark/>
          </w:tcPr>
          <w:p w14:paraId="3EE79038" w14:textId="77777777" w:rsidR="00256297" w:rsidRPr="00256297" w:rsidRDefault="00256297" w:rsidP="00256297">
            <w:pPr>
              <w:spacing w:after="0" w:line="240" w:lineRule="auto"/>
              <w:rPr>
                <w:rFonts w:ascii="Arial" w:eastAsia="Times New Roman" w:hAnsi="Arial" w:cs="Arial"/>
                <w:sz w:val="36"/>
                <w:szCs w:val="36"/>
                <w:lang w:eastAsia="lt-LT"/>
              </w:rPr>
            </w:pPr>
            <w:r w:rsidRPr="00256297">
              <w:rPr>
                <w:rFonts w:ascii="Trebuchet MS" w:eastAsia="Times New Roman" w:hAnsi="Trebuchet MS" w:cs="Arial"/>
                <w:b/>
                <w:bCs/>
                <w:color w:val="FFFFFF" w:themeColor="light1"/>
                <w:kern w:val="24"/>
                <w:sz w:val="20"/>
                <w:szCs w:val="20"/>
                <w:lang w:eastAsia="lt-LT"/>
              </w:rPr>
              <w:t xml:space="preserve">Mokėtina suma iki </w:t>
            </w:r>
          </w:p>
        </w:tc>
      </w:tr>
      <w:tr w:rsidR="00256297" w:rsidRPr="00256297" w14:paraId="5663E61F" w14:textId="77777777" w:rsidTr="00256297">
        <w:trPr>
          <w:trHeight w:val="261"/>
        </w:trPr>
        <w:tc>
          <w:tcPr>
            <w:tcW w:w="3109" w:type="dxa"/>
            <w:tcBorders>
              <w:top w:val="single" w:sz="24" w:space="0" w:color="FFFFFF"/>
              <w:left w:val="single" w:sz="8" w:space="0" w:color="FFFFFF"/>
              <w:bottom w:val="single" w:sz="8" w:space="0" w:color="FFFFFF"/>
              <w:right w:val="single" w:sz="8" w:space="0" w:color="FFFFFF"/>
            </w:tcBorders>
            <w:shd w:val="clear" w:color="auto" w:fill="2052A0"/>
            <w:tcMar>
              <w:top w:w="15" w:type="dxa"/>
              <w:left w:w="66" w:type="dxa"/>
              <w:bottom w:w="0" w:type="dxa"/>
              <w:right w:w="66" w:type="dxa"/>
            </w:tcMar>
            <w:hideMark/>
          </w:tcPr>
          <w:p w14:paraId="6116FEA4"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b/>
                <w:bCs/>
                <w:color w:val="FFFFFF" w:themeColor="light1"/>
                <w:kern w:val="24"/>
                <w:sz w:val="20"/>
                <w:szCs w:val="20"/>
                <w:lang w:eastAsia="lt-LT"/>
              </w:rPr>
              <w:t>nemokamai</w:t>
            </w:r>
          </w:p>
        </w:tc>
        <w:tc>
          <w:tcPr>
            <w:tcW w:w="2977" w:type="dxa"/>
            <w:tcBorders>
              <w:top w:val="single" w:sz="24" w:space="0" w:color="FFFFFF"/>
              <w:left w:val="single" w:sz="8" w:space="0" w:color="FFFFFF"/>
              <w:bottom w:val="single" w:sz="8" w:space="0" w:color="FFFFFF"/>
              <w:right w:val="single" w:sz="8" w:space="0" w:color="FFFFFF"/>
            </w:tcBorders>
            <w:shd w:val="clear" w:color="auto" w:fill="CCD0DF"/>
            <w:tcMar>
              <w:top w:w="15" w:type="dxa"/>
              <w:left w:w="66" w:type="dxa"/>
              <w:bottom w:w="0" w:type="dxa"/>
              <w:right w:w="66" w:type="dxa"/>
            </w:tcMar>
            <w:hideMark/>
          </w:tcPr>
          <w:p w14:paraId="4A33D4D6"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255,9  (iki 2 VRP)</w:t>
            </w:r>
          </w:p>
        </w:tc>
        <w:tc>
          <w:tcPr>
            <w:tcW w:w="2976" w:type="dxa"/>
            <w:tcBorders>
              <w:top w:val="single" w:sz="24" w:space="0" w:color="FFFFFF"/>
              <w:left w:val="single" w:sz="8" w:space="0" w:color="FFFFFF"/>
              <w:bottom w:val="single" w:sz="8" w:space="0" w:color="FFFFFF"/>
              <w:right w:val="single" w:sz="8" w:space="0" w:color="FFFFFF"/>
            </w:tcBorders>
            <w:shd w:val="clear" w:color="auto" w:fill="CCD0DF"/>
            <w:tcMar>
              <w:top w:w="15" w:type="dxa"/>
              <w:left w:w="66" w:type="dxa"/>
              <w:bottom w:w="0" w:type="dxa"/>
              <w:right w:w="66" w:type="dxa"/>
            </w:tcMar>
            <w:hideMark/>
          </w:tcPr>
          <w:p w14:paraId="4178E7DD"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0</w:t>
            </w:r>
          </w:p>
        </w:tc>
      </w:tr>
      <w:tr w:rsidR="00256297" w:rsidRPr="00256297" w14:paraId="025B2DE4" w14:textId="77777777" w:rsidTr="00256297">
        <w:trPr>
          <w:trHeight w:val="539"/>
        </w:trPr>
        <w:tc>
          <w:tcPr>
            <w:tcW w:w="3109" w:type="dxa"/>
            <w:tcBorders>
              <w:top w:val="single" w:sz="8" w:space="0" w:color="FFFFFF"/>
              <w:left w:val="single" w:sz="8" w:space="0" w:color="FFFFFF"/>
              <w:bottom w:val="single" w:sz="8" w:space="0" w:color="FFFFFF"/>
              <w:right w:val="single" w:sz="8" w:space="0" w:color="FFFFFF"/>
            </w:tcBorders>
            <w:shd w:val="clear" w:color="auto" w:fill="2052A0"/>
            <w:tcMar>
              <w:top w:w="15" w:type="dxa"/>
              <w:left w:w="66" w:type="dxa"/>
              <w:bottom w:w="0" w:type="dxa"/>
              <w:right w:w="66" w:type="dxa"/>
            </w:tcMar>
            <w:hideMark/>
          </w:tcPr>
          <w:p w14:paraId="51800F20"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b/>
                <w:bCs/>
                <w:color w:val="FFFFFF" w:themeColor="light1"/>
                <w:kern w:val="24"/>
                <w:sz w:val="20"/>
                <w:szCs w:val="20"/>
                <w:lang w:eastAsia="lt-LT"/>
              </w:rPr>
              <w:t>iki 5 proc.</w:t>
            </w:r>
          </w:p>
        </w:tc>
        <w:tc>
          <w:tcPr>
            <w:tcW w:w="2977" w:type="dxa"/>
            <w:tcBorders>
              <w:top w:val="single" w:sz="8" w:space="0" w:color="FFFFFF"/>
              <w:left w:val="single" w:sz="8" w:space="0" w:color="FFFFFF"/>
              <w:bottom w:val="single" w:sz="8" w:space="0" w:color="FFFFFF"/>
              <w:right w:val="single" w:sz="8" w:space="0" w:color="FFFFFF"/>
            </w:tcBorders>
            <w:shd w:val="clear" w:color="auto" w:fill="E7E9F0"/>
            <w:tcMar>
              <w:top w:w="15" w:type="dxa"/>
              <w:left w:w="66" w:type="dxa"/>
              <w:bottom w:w="0" w:type="dxa"/>
              <w:right w:w="66" w:type="dxa"/>
            </w:tcMar>
            <w:hideMark/>
          </w:tcPr>
          <w:p w14:paraId="38D10CA0"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 xml:space="preserve">256 – 383 </w:t>
            </w:r>
          </w:p>
          <w:p w14:paraId="46DE3356"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(nuo 2 iki 3 VRP)</w:t>
            </w:r>
          </w:p>
        </w:tc>
        <w:tc>
          <w:tcPr>
            <w:tcW w:w="2976" w:type="dxa"/>
            <w:tcBorders>
              <w:top w:val="single" w:sz="8" w:space="0" w:color="FFFFFF"/>
              <w:left w:val="single" w:sz="8" w:space="0" w:color="FFFFFF"/>
              <w:bottom w:val="single" w:sz="8" w:space="0" w:color="FFFFFF"/>
              <w:right w:val="single" w:sz="8" w:space="0" w:color="FFFFFF"/>
            </w:tcBorders>
            <w:shd w:val="clear" w:color="auto" w:fill="E7E9F0"/>
            <w:tcMar>
              <w:top w:w="15" w:type="dxa"/>
              <w:left w:w="66" w:type="dxa"/>
              <w:bottom w:w="0" w:type="dxa"/>
              <w:right w:w="66" w:type="dxa"/>
            </w:tcMar>
            <w:hideMark/>
          </w:tcPr>
          <w:p w14:paraId="55644295"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12,8-19,15</w:t>
            </w:r>
          </w:p>
        </w:tc>
      </w:tr>
      <w:tr w:rsidR="00256297" w:rsidRPr="00256297" w14:paraId="23F02189" w14:textId="77777777" w:rsidTr="00256297">
        <w:trPr>
          <w:trHeight w:val="539"/>
        </w:trPr>
        <w:tc>
          <w:tcPr>
            <w:tcW w:w="3109" w:type="dxa"/>
            <w:tcBorders>
              <w:top w:val="single" w:sz="8" w:space="0" w:color="FFFFFF"/>
              <w:left w:val="single" w:sz="8" w:space="0" w:color="FFFFFF"/>
              <w:bottom w:val="single" w:sz="8" w:space="0" w:color="FFFFFF"/>
              <w:right w:val="single" w:sz="8" w:space="0" w:color="FFFFFF"/>
            </w:tcBorders>
            <w:shd w:val="clear" w:color="auto" w:fill="2052A0"/>
            <w:tcMar>
              <w:top w:w="15" w:type="dxa"/>
              <w:left w:w="66" w:type="dxa"/>
              <w:bottom w:w="0" w:type="dxa"/>
              <w:right w:w="66" w:type="dxa"/>
            </w:tcMar>
            <w:hideMark/>
          </w:tcPr>
          <w:p w14:paraId="7EFC3C8C"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b/>
                <w:bCs/>
                <w:color w:val="FFFFFF" w:themeColor="light1"/>
                <w:kern w:val="24"/>
                <w:sz w:val="20"/>
                <w:szCs w:val="20"/>
                <w:lang w:eastAsia="lt-LT"/>
              </w:rPr>
              <w:t>Iki 10 proc.</w:t>
            </w:r>
          </w:p>
        </w:tc>
        <w:tc>
          <w:tcPr>
            <w:tcW w:w="2977" w:type="dxa"/>
            <w:tcBorders>
              <w:top w:val="single" w:sz="8" w:space="0" w:color="FFFFFF"/>
              <w:left w:val="single" w:sz="8" w:space="0" w:color="FFFFFF"/>
              <w:bottom w:val="single" w:sz="8" w:space="0" w:color="FFFFFF"/>
              <w:right w:val="single" w:sz="8" w:space="0" w:color="FFFFFF"/>
            </w:tcBorders>
            <w:shd w:val="clear" w:color="auto" w:fill="CCD0DF"/>
            <w:tcMar>
              <w:top w:w="15" w:type="dxa"/>
              <w:left w:w="66" w:type="dxa"/>
              <w:bottom w:w="0" w:type="dxa"/>
              <w:right w:w="66" w:type="dxa"/>
            </w:tcMar>
            <w:hideMark/>
          </w:tcPr>
          <w:p w14:paraId="2DABB3F5"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 xml:space="preserve">384-511 </w:t>
            </w:r>
          </w:p>
          <w:p w14:paraId="2F239A8B"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 nuo 3 iki 4 VRP)</w:t>
            </w:r>
          </w:p>
        </w:tc>
        <w:tc>
          <w:tcPr>
            <w:tcW w:w="2976" w:type="dxa"/>
            <w:tcBorders>
              <w:top w:val="single" w:sz="8" w:space="0" w:color="FFFFFF"/>
              <w:left w:val="single" w:sz="8" w:space="0" w:color="FFFFFF"/>
              <w:bottom w:val="single" w:sz="8" w:space="0" w:color="FFFFFF"/>
              <w:right w:val="single" w:sz="8" w:space="0" w:color="FFFFFF"/>
            </w:tcBorders>
            <w:shd w:val="clear" w:color="auto" w:fill="CCD0DF"/>
            <w:tcMar>
              <w:top w:w="15" w:type="dxa"/>
              <w:left w:w="66" w:type="dxa"/>
              <w:bottom w:w="0" w:type="dxa"/>
              <w:right w:w="66" w:type="dxa"/>
            </w:tcMar>
            <w:hideMark/>
          </w:tcPr>
          <w:p w14:paraId="03EC867D"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38,4-51,1</w:t>
            </w:r>
          </w:p>
        </w:tc>
      </w:tr>
      <w:tr w:rsidR="00256297" w:rsidRPr="00256297" w14:paraId="45EB9B5B" w14:textId="77777777" w:rsidTr="00256297">
        <w:trPr>
          <w:trHeight w:val="539"/>
        </w:trPr>
        <w:tc>
          <w:tcPr>
            <w:tcW w:w="3109" w:type="dxa"/>
            <w:tcBorders>
              <w:top w:val="single" w:sz="8" w:space="0" w:color="FFFFFF"/>
              <w:left w:val="single" w:sz="8" w:space="0" w:color="FFFFFF"/>
              <w:bottom w:val="single" w:sz="8" w:space="0" w:color="FFFFFF"/>
              <w:right w:val="single" w:sz="8" w:space="0" w:color="FFFFFF"/>
            </w:tcBorders>
            <w:shd w:val="clear" w:color="auto" w:fill="2052A0"/>
            <w:tcMar>
              <w:top w:w="15" w:type="dxa"/>
              <w:left w:w="66" w:type="dxa"/>
              <w:bottom w:w="0" w:type="dxa"/>
              <w:right w:w="66" w:type="dxa"/>
            </w:tcMar>
            <w:hideMark/>
          </w:tcPr>
          <w:p w14:paraId="4E433A1E"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b/>
                <w:bCs/>
                <w:color w:val="FFFFFF" w:themeColor="light1"/>
                <w:kern w:val="24"/>
                <w:sz w:val="20"/>
                <w:szCs w:val="20"/>
                <w:lang w:eastAsia="lt-LT"/>
              </w:rPr>
              <w:t>Iki 15 proc.</w:t>
            </w:r>
          </w:p>
        </w:tc>
        <w:tc>
          <w:tcPr>
            <w:tcW w:w="2977" w:type="dxa"/>
            <w:tcBorders>
              <w:top w:val="single" w:sz="8" w:space="0" w:color="FFFFFF"/>
              <w:left w:val="single" w:sz="8" w:space="0" w:color="FFFFFF"/>
              <w:bottom w:val="single" w:sz="8" w:space="0" w:color="FFFFFF"/>
              <w:right w:val="single" w:sz="8" w:space="0" w:color="FFFFFF"/>
            </w:tcBorders>
            <w:shd w:val="clear" w:color="auto" w:fill="E7E9F0"/>
            <w:tcMar>
              <w:top w:w="15" w:type="dxa"/>
              <w:left w:w="66" w:type="dxa"/>
              <w:bottom w:w="0" w:type="dxa"/>
              <w:right w:w="66" w:type="dxa"/>
            </w:tcMar>
            <w:hideMark/>
          </w:tcPr>
          <w:p w14:paraId="04197754"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512-639</w:t>
            </w:r>
          </w:p>
          <w:p w14:paraId="6003909B"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(nuo 4 iki 5 VRP)</w:t>
            </w:r>
          </w:p>
        </w:tc>
        <w:tc>
          <w:tcPr>
            <w:tcW w:w="2976" w:type="dxa"/>
            <w:tcBorders>
              <w:top w:val="single" w:sz="8" w:space="0" w:color="FFFFFF"/>
              <w:left w:val="single" w:sz="8" w:space="0" w:color="FFFFFF"/>
              <w:bottom w:val="single" w:sz="8" w:space="0" w:color="FFFFFF"/>
              <w:right w:val="single" w:sz="8" w:space="0" w:color="FFFFFF"/>
            </w:tcBorders>
            <w:shd w:val="clear" w:color="auto" w:fill="E7E9F0"/>
            <w:tcMar>
              <w:top w:w="15" w:type="dxa"/>
              <w:left w:w="66" w:type="dxa"/>
              <w:bottom w:w="0" w:type="dxa"/>
              <w:right w:w="66" w:type="dxa"/>
            </w:tcMar>
            <w:hideMark/>
          </w:tcPr>
          <w:p w14:paraId="03CF61E7"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76,8-95,85</w:t>
            </w:r>
          </w:p>
        </w:tc>
      </w:tr>
      <w:tr w:rsidR="00256297" w:rsidRPr="00256297" w14:paraId="6DC57CBB" w14:textId="77777777" w:rsidTr="00256297">
        <w:trPr>
          <w:trHeight w:val="261"/>
        </w:trPr>
        <w:tc>
          <w:tcPr>
            <w:tcW w:w="3109" w:type="dxa"/>
            <w:tcBorders>
              <w:top w:val="single" w:sz="8" w:space="0" w:color="FFFFFF"/>
              <w:left w:val="single" w:sz="8" w:space="0" w:color="FFFFFF"/>
              <w:bottom w:val="single" w:sz="8" w:space="0" w:color="FFFFFF"/>
              <w:right w:val="single" w:sz="8" w:space="0" w:color="FFFFFF"/>
            </w:tcBorders>
            <w:shd w:val="clear" w:color="auto" w:fill="2052A0"/>
            <w:tcMar>
              <w:top w:w="15" w:type="dxa"/>
              <w:left w:w="66" w:type="dxa"/>
              <w:bottom w:w="0" w:type="dxa"/>
              <w:right w:w="66" w:type="dxa"/>
            </w:tcMar>
            <w:hideMark/>
          </w:tcPr>
          <w:p w14:paraId="7AB3D3FD"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b/>
                <w:bCs/>
                <w:color w:val="FFFFFF" w:themeColor="light1"/>
                <w:kern w:val="24"/>
                <w:sz w:val="20"/>
                <w:szCs w:val="20"/>
                <w:lang w:eastAsia="lt-LT"/>
              </w:rPr>
              <w:t xml:space="preserve">Iki 20 proc. </w:t>
            </w:r>
          </w:p>
        </w:tc>
        <w:tc>
          <w:tcPr>
            <w:tcW w:w="2977" w:type="dxa"/>
            <w:tcBorders>
              <w:top w:val="single" w:sz="8" w:space="0" w:color="FFFFFF"/>
              <w:left w:val="single" w:sz="8" w:space="0" w:color="FFFFFF"/>
              <w:bottom w:val="single" w:sz="8" w:space="0" w:color="FFFFFF"/>
              <w:right w:val="single" w:sz="8" w:space="0" w:color="FFFFFF"/>
            </w:tcBorders>
            <w:shd w:val="clear" w:color="auto" w:fill="CCD0DF"/>
            <w:tcMar>
              <w:top w:w="15" w:type="dxa"/>
              <w:left w:w="66" w:type="dxa"/>
              <w:bottom w:w="0" w:type="dxa"/>
              <w:right w:w="66" w:type="dxa"/>
            </w:tcMar>
            <w:hideMark/>
          </w:tcPr>
          <w:p w14:paraId="5FD87A42"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640 ir daugiau</w:t>
            </w:r>
          </w:p>
        </w:tc>
        <w:tc>
          <w:tcPr>
            <w:tcW w:w="2976" w:type="dxa"/>
            <w:tcBorders>
              <w:top w:val="single" w:sz="8" w:space="0" w:color="FFFFFF"/>
              <w:left w:val="single" w:sz="8" w:space="0" w:color="FFFFFF"/>
              <w:bottom w:val="single" w:sz="8" w:space="0" w:color="FFFFFF"/>
              <w:right w:val="single" w:sz="8" w:space="0" w:color="FFFFFF"/>
            </w:tcBorders>
            <w:shd w:val="clear" w:color="auto" w:fill="CCD0DF"/>
            <w:tcMar>
              <w:top w:w="15" w:type="dxa"/>
              <w:left w:w="66" w:type="dxa"/>
              <w:bottom w:w="0" w:type="dxa"/>
              <w:right w:w="66" w:type="dxa"/>
            </w:tcMar>
            <w:hideMark/>
          </w:tcPr>
          <w:p w14:paraId="0ED71ECE" w14:textId="77777777" w:rsidR="00256297" w:rsidRPr="00256297" w:rsidRDefault="00256297" w:rsidP="00256297">
            <w:pPr>
              <w:spacing w:after="0" w:line="276" w:lineRule="auto"/>
              <w:rPr>
                <w:rFonts w:ascii="Arial" w:eastAsia="Times New Roman" w:hAnsi="Arial" w:cs="Arial"/>
                <w:sz w:val="36"/>
                <w:szCs w:val="36"/>
                <w:lang w:eastAsia="lt-LT"/>
              </w:rPr>
            </w:pPr>
            <w:r w:rsidRPr="00256297">
              <w:rPr>
                <w:rFonts w:ascii="Trebuchet MS" w:eastAsia="Times New Roman" w:hAnsi="Trebuchet MS" w:cs="Arial"/>
                <w:color w:val="000000" w:themeColor="dark1"/>
                <w:kern w:val="24"/>
                <w:sz w:val="20"/>
                <w:szCs w:val="20"/>
                <w:lang w:eastAsia="lt-LT"/>
              </w:rPr>
              <w:t>128 ir daugiau</w:t>
            </w:r>
          </w:p>
        </w:tc>
      </w:tr>
    </w:tbl>
    <w:p w14:paraId="3AE371DB" w14:textId="611817B7" w:rsidR="00256297" w:rsidRDefault="00256297" w:rsidP="00256297">
      <w:pPr>
        <w:jc w:val="both"/>
        <w:rPr>
          <w:b/>
          <w:bCs/>
        </w:rPr>
      </w:pPr>
    </w:p>
    <w:p w14:paraId="7452BC97" w14:textId="2519E963" w:rsidR="00256297" w:rsidRDefault="00256297" w:rsidP="00256297">
      <w:pPr>
        <w:jc w:val="both"/>
        <w:rPr>
          <w:b/>
          <w:bCs/>
        </w:rPr>
      </w:pPr>
    </w:p>
    <w:p w14:paraId="23310EE4" w14:textId="77777777" w:rsidR="00256297" w:rsidRDefault="00256297" w:rsidP="00256297">
      <w:pPr>
        <w:jc w:val="both"/>
        <w:rPr>
          <w:b/>
          <w:bCs/>
        </w:rPr>
      </w:pPr>
    </w:p>
    <w:p w14:paraId="2E609DA6" w14:textId="3B76D9A8" w:rsidR="00256297" w:rsidRDefault="00256297" w:rsidP="00256297">
      <w:pPr>
        <w:jc w:val="both"/>
        <w:rPr>
          <w:b/>
          <w:bCs/>
        </w:rPr>
      </w:pPr>
      <w:r>
        <w:rPr>
          <w:b/>
          <w:bCs/>
        </w:rPr>
        <w:t>Skaičiavimo pavyzdžiai</w:t>
      </w:r>
      <w:r w:rsidR="0079502B">
        <w:rPr>
          <w:b/>
          <w:bCs/>
        </w:rPr>
        <w:t>. Čia yra svarbūs du komponentai: asmens pajamos ir asmeninės pagalbos įkainis.</w:t>
      </w:r>
    </w:p>
    <w:tbl>
      <w:tblPr>
        <w:tblStyle w:val="Lentelstinklelis"/>
        <w:tblW w:w="0" w:type="auto"/>
        <w:tblInd w:w="-856" w:type="dxa"/>
        <w:tblLook w:val="04A0" w:firstRow="1" w:lastRow="0" w:firstColumn="1" w:lastColumn="0" w:noHBand="0" w:noVBand="1"/>
      </w:tblPr>
      <w:tblGrid>
        <w:gridCol w:w="387"/>
        <w:gridCol w:w="9530"/>
      </w:tblGrid>
      <w:tr w:rsidR="00B0413F" w14:paraId="7394129C" w14:textId="77777777" w:rsidTr="00DF4B71">
        <w:tc>
          <w:tcPr>
            <w:tcW w:w="387" w:type="dxa"/>
          </w:tcPr>
          <w:p w14:paraId="059A4B90" w14:textId="6CC895E9" w:rsidR="00B0413F" w:rsidRPr="00B0413F" w:rsidRDefault="00B0413F" w:rsidP="00256297">
            <w:pPr>
              <w:jc w:val="both"/>
              <w:rPr>
                <w:b/>
                <w:bCs/>
              </w:rPr>
            </w:pPr>
            <w:r>
              <w:rPr>
                <w:b/>
                <w:bCs/>
              </w:rPr>
              <w:t>1.</w:t>
            </w:r>
          </w:p>
        </w:tc>
        <w:tc>
          <w:tcPr>
            <w:tcW w:w="9530" w:type="dxa"/>
          </w:tcPr>
          <w:p w14:paraId="21224EBD" w14:textId="6D38F97F" w:rsidR="00B0413F" w:rsidRPr="00B0413F" w:rsidRDefault="00B0413F" w:rsidP="00256297">
            <w:pPr>
              <w:jc w:val="both"/>
              <w:rPr>
                <w:b/>
                <w:bCs/>
                <w:u w:val="single"/>
              </w:rPr>
            </w:pPr>
            <w:r w:rsidRPr="00B0413F">
              <w:rPr>
                <w:b/>
                <w:bCs/>
              </w:rPr>
              <w:t>(1 komponentas)</w:t>
            </w:r>
            <w:r>
              <w:t xml:space="preserve"> </w:t>
            </w:r>
            <w:r w:rsidRPr="0079502B">
              <w:t xml:space="preserve">Asmens pajamos 400 Eur.(tai sudaro – </w:t>
            </w:r>
            <w:r w:rsidRPr="0079502B">
              <w:rPr>
                <w:b/>
                <w:bCs/>
              </w:rPr>
              <w:t>3,125 VRP</w:t>
            </w:r>
            <w:r w:rsidRPr="0079502B">
              <w:t>). Asm</w:t>
            </w:r>
            <w:r>
              <w:t xml:space="preserve">ens mokėjimas </w:t>
            </w:r>
            <w:r w:rsidRPr="0079502B">
              <w:t xml:space="preserve">už asmeninę pagalbą </w:t>
            </w:r>
            <w:r w:rsidRPr="00B0413F">
              <w:rPr>
                <w:b/>
                <w:bCs/>
              </w:rPr>
              <w:t>ne</w:t>
            </w:r>
            <w:r w:rsidRPr="0079502B">
              <w:rPr>
                <w:b/>
                <w:bCs/>
              </w:rPr>
              <w:t xml:space="preserve">turės </w:t>
            </w:r>
            <w:r>
              <w:rPr>
                <w:b/>
                <w:bCs/>
              </w:rPr>
              <w:t>viršyti</w:t>
            </w:r>
            <w:r w:rsidRPr="0079502B">
              <w:rPr>
                <w:b/>
                <w:bCs/>
              </w:rPr>
              <w:t xml:space="preserve"> 10 proc. asmens pajamų. Tai reiškia, kad maksimali suma, kurią galės mokėti asmuo </w:t>
            </w:r>
            <w:r w:rsidRPr="00B0413F">
              <w:rPr>
                <w:b/>
                <w:bCs/>
                <w:u w:val="single"/>
              </w:rPr>
              <w:t>per mėn. yra 40 Eur.</w:t>
            </w:r>
          </w:p>
          <w:p w14:paraId="6ED894AD" w14:textId="77777777" w:rsidR="00B0413F" w:rsidRDefault="00B0413F" w:rsidP="00256297">
            <w:pPr>
              <w:jc w:val="both"/>
            </w:pPr>
          </w:p>
          <w:p w14:paraId="22FEC010" w14:textId="2A4159F3" w:rsidR="00B0413F" w:rsidRDefault="00B0413F" w:rsidP="0079502B">
            <w:pPr>
              <w:jc w:val="both"/>
            </w:pPr>
            <w:r w:rsidRPr="00B0413F">
              <w:rPr>
                <w:b/>
                <w:bCs/>
              </w:rPr>
              <w:t>(2 komponentas)</w:t>
            </w:r>
            <w:r>
              <w:t xml:space="preserve"> </w:t>
            </w:r>
            <w:r w:rsidRPr="0079502B">
              <w:t>Asmeninės pagalbos valandinis įkainis – 8 Eur.</w:t>
            </w:r>
            <w:r>
              <w:t xml:space="preserve"> </w:t>
            </w:r>
            <w:r w:rsidRPr="0079502B">
              <w:t xml:space="preserve">Asmeniui nustatytas 30 </w:t>
            </w:r>
            <w:proofErr w:type="spellStart"/>
            <w:r w:rsidRPr="0079502B">
              <w:t>val</w:t>
            </w:r>
            <w:proofErr w:type="spellEnd"/>
            <w:r w:rsidRPr="0079502B">
              <w:t>/ mėn.</w:t>
            </w:r>
            <w:r>
              <w:t xml:space="preserve"> </w:t>
            </w:r>
          </w:p>
          <w:p w14:paraId="3238D129" w14:textId="77777777" w:rsidR="00B0413F" w:rsidRPr="00B0413F" w:rsidRDefault="00B0413F" w:rsidP="0079502B">
            <w:pPr>
              <w:jc w:val="both"/>
              <w:rPr>
                <w:b/>
                <w:bCs/>
              </w:rPr>
            </w:pPr>
            <w:r>
              <w:t xml:space="preserve">Tai viso asmeninės pagalbos </w:t>
            </w:r>
            <w:r w:rsidRPr="00B0413F">
              <w:rPr>
                <w:b/>
                <w:bCs/>
              </w:rPr>
              <w:t>teikimo kaštai per mėn. 240 Eur.</w:t>
            </w:r>
          </w:p>
          <w:p w14:paraId="4831342C" w14:textId="77777777" w:rsidR="00B0413F" w:rsidRDefault="00B0413F" w:rsidP="0079502B">
            <w:pPr>
              <w:jc w:val="both"/>
            </w:pPr>
            <w:r>
              <w:t xml:space="preserve">Dabar paskaičiuojam, kiek tai sudaro 20 proc. </w:t>
            </w:r>
          </w:p>
          <w:p w14:paraId="7D15B2F5" w14:textId="77777777" w:rsidR="00B0413F" w:rsidRDefault="00B0413F" w:rsidP="0079502B">
            <w:pPr>
              <w:jc w:val="both"/>
              <w:rPr>
                <w:b/>
                <w:bCs/>
                <w:u w:val="single"/>
              </w:rPr>
            </w:pPr>
            <w:r w:rsidRPr="00B0413F">
              <w:rPr>
                <w:b/>
                <w:bCs/>
                <w:u w:val="single"/>
              </w:rPr>
              <w:t>20 proc. asmeninės pagalbos teikimo išlaidų sudaro 48 Eur.</w:t>
            </w:r>
          </w:p>
          <w:p w14:paraId="72B0615D" w14:textId="40C64265" w:rsidR="00B0413F" w:rsidRPr="00B0413F" w:rsidRDefault="00B0413F" w:rsidP="0079502B">
            <w:pPr>
              <w:jc w:val="both"/>
              <w:rPr>
                <w:b/>
                <w:bCs/>
              </w:rPr>
            </w:pPr>
            <w:r>
              <w:rPr>
                <w:b/>
                <w:bCs/>
              </w:rPr>
              <w:t>Nors asmeninės pagalbos teikimo kaštai, kuriuos turi sumokėti asmuo sudaro 48 Eur., bet asmuo mokės tik 40 Eur., nes 1 komponentas rodo, kad maksimali suma, kurią gali dengti asmuo yra 40 Eur.</w:t>
            </w:r>
          </w:p>
        </w:tc>
      </w:tr>
      <w:tr w:rsidR="00B0413F" w14:paraId="3119C6EE" w14:textId="77777777" w:rsidTr="00DF4B71">
        <w:tc>
          <w:tcPr>
            <w:tcW w:w="387" w:type="dxa"/>
          </w:tcPr>
          <w:p w14:paraId="543C2791" w14:textId="42EC1449" w:rsidR="00B0413F" w:rsidRDefault="00B0413F" w:rsidP="00256297">
            <w:pPr>
              <w:jc w:val="both"/>
              <w:rPr>
                <w:b/>
                <w:bCs/>
              </w:rPr>
            </w:pPr>
            <w:r>
              <w:rPr>
                <w:b/>
                <w:bCs/>
              </w:rPr>
              <w:t>2.</w:t>
            </w:r>
          </w:p>
        </w:tc>
        <w:tc>
          <w:tcPr>
            <w:tcW w:w="9530" w:type="dxa"/>
          </w:tcPr>
          <w:p w14:paraId="6DEB1523" w14:textId="71CE1FAE" w:rsidR="00B0413F" w:rsidRPr="00B0413F" w:rsidRDefault="00B0413F" w:rsidP="00B0413F">
            <w:pPr>
              <w:jc w:val="both"/>
              <w:rPr>
                <w:b/>
                <w:bCs/>
                <w:u w:val="single"/>
              </w:rPr>
            </w:pPr>
            <w:r w:rsidRPr="00B0413F">
              <w:rPr>
                <w:b/>
                <w:bCs/>
              </w:rPr>
              <w:t>(1 komponentas)</w:t>
            </w:r>
            <w:r>
              <w:t xml:space="preserve"> </w:t>
            </w:r>
            <w:r w:rsidRPr="0079502B">
              <w:t xml:space="preserve">Asmens pajamos 400 Eur.(tai sudaro – </w:t>
            </w:r>
            <w:r w:rsidRPr="0079502B">
              <w:rPr>
                <w:b/>
                <w:bCs/>
              </w:rPr>
              <w:t>3,125 VRP</w:t>
            </w:r>
            <w:r w:rsidRPr="0079502B">
              <w:t>). Asm</w:t>
            </w:r>
            <w:r>
              <w:t xml:space="preserve">ens mokėjimas </w:t>
            </w:r>
            <w:r w:rsidRPr="0079502B">
              <w:t xml:space="preserve">už asmeninę pagalbą </w:t>
            </w:r>
            <w:r w:rsidRPr="00B0413F">
              <w:rPr>
                <w:b/>
                <w:bCs/>
              </w:rPr>
              <w:t>ne</w:t>
            </w:r>
            <w:r w:rsidRPr="0079502B">
              <w:rPr>
                <w:b/>
                <w:bCs/>
              </w:rPr>
              <w:t xml:space="preserve">turės </w:t>
            </w:r>
            <w:r>
              <w:rPr>
                <w:b/>
                <w:bCs/>
              </w:rPr>
              <w:t>viršyti</w:t>
            </w:r>
            <w:r w:rsidRPr="0079502B">
              <w:rPr>
                <w:b/>
                <w:bCs/>
              </w:rPr>
              <w:t xml:space="preserve"> 10 proc. asmens pajamų. Tai reiškia, kad maksimali suma, kurią galės mokėti asmuo </w:t>
            </w:r>
            <w:r w:rsidRPr="00B0413F">
              <w:rPr>
                <w:b/>
                <w:bCs/>
                <w:u w:val="single"/>
              </w:rPr>
              <w:t>per mėn. yra 40 Eur.</w:t>
            </w:r>
          </w:p>
          <w:p w14:paraId="6E96BEF2" w14:textId="77777777" w:rsidR="00B0413F" w:rsidRDefault="00B0413F" w:rsidP="00B0413F">
            <w:pPr>
              <w:jc w:val="both"/>
            </w:pPr>
          </w:p>
          <w:p w14:paraId="28284506" w14:textId="0CF6D588" w:rsidR="00B0413F" w:rsidRDefault="00B0413F" w:rsidP="00B0413F">
            <w:pPr>
              <w:jc w:val="both"/>
            </w:pPr>
            <w:r w:rsidRPr="00B0413F">
              <w:rPr>
                <w:b/>
                <w:bCs/>
              </w:rPr>
              <w:t>(2 komponentas)</w:t>
            </w:r>
            <w:r>
              <w:t xml:space="preserve"> </w:t>
            </w:r>
            <w:r w:rsidRPr="0079502B">
              <w:t>Asmeninės pagalbos valandinis įkainis – 8 Eur.</w:t>
            </w:r>
            <w:r>
              <w:t xml:space="preserve"> </w:t>
            </w:r>
            <w:r w:rsidRPr="0079502B">
              <w:t xml:space="preserve">Asmeniui nustatytas </w:t>
            </w:r>
            <w:r>
              <w:t>20</w:t>
            </w:r>
            <w:r w:rsidRPr="0079502B">
              <w:t xml:space="preserve"> </w:t>
            </w:r>
            <w:proofErr w:type="spellStart"/>
            <w:r w:rsidRPr="0079502B">
              <w:t>val</w:t>
            </w:r>
            <w:proofErr w:type="spellEnd"/>
            <w:r w:rsidRPr="0079502B">
              <w:t>/ mėn.</w:t>
            </w:r>
            <w:r>
              <w:t xml:space="preserve"> </w:t>
            </w:r>
          </w:p>
          <w:p w14:paraId="2BECBB71" w14:textId="36842C6A" w:rsidR="00B0413F" w:rsidRDefault="00B0413F" w:rsidP="00B0413F">
            <w:pPr>
              <w:jc w:val="both"/>
            </w:pPr>
            <w:r>
              <w:t>Tai viso asmeninės pagalbos teikimo kaštai per mėn. 160 Eur.</w:t>
            </w:r>
          </w:p>
          <w:p w14:paraId="33DFA3BC" w14:textId="77777777" w:rsidR="00B0413F" w:rsidRDefault="00B0413F" w:rsidP="00B0413F">
            <w:pPr>
              <w:jc w:val="both"/>
            </w:pPr>
            <w:r>
              <w:t xml:space="preserve">Dabar paskaičiuojam, kiek tai sudaro 20 proc. </w:t>
            </w:r>
          </w:p>
          <w:p w14:paraId="25993A4A" w14:textId="15B1126F" w:rsidR="00B0413F" w:rsidRDefault="00B0413F" w:rsidP="00B0413F">
            <w:pPr>
              <w:jc w:val="both"/>
              <w:rPr>
                <w:b/>
                <w:bCs/>
                <w:u w:val="single"/>
              </w:rPr>
            </w:pPr>
            <w:r w:rsidRPr="00B0413F">
              <w:rPr>
                <w:b/>
                <w:bCs/>
                <w:u w:val="single"/>
              </w:rPr>
              <w:t xml:space="preserve">20 proc. asmeninės pagalbos teikimo išlaidų sudaro </w:t>
            </w:r>
            <w:r>
              <w:rPr>
                <w:b/>
                <w:bCs/>
                <w:u w:val="single"/>
              </w:rPr>
              <w:t>32</w:t>
            </w:r>
            <w:r w:rsidRPr="00B0413F">
              <w:rPr>
                <w:b/>
                <w:bCs/>
                <w:u w:val="single"/>
              </w:rPr>
              <w:t xml:space="preserve"> Eur.</w:t>
            </w:r>
          </w:p>
          <w:p w14:paraId="5B56EEF3" w14:textId="7BB31D58" w:rsidR="00B0413F" w:rsidRDefault="00B0413F" w:rsidP="00B0413F">
            <w:pPr>
              <w:jc w:val="both"/>
              <w:rPr>
                <w:b/>
                <w:bCs/>
              </w:rPr>
            </w:pPr>
            <w:r>
              <w:rPr>
                <w:b/>
                <w:bCs/>
              </w:rPr>
              <w:t>Asmeninės pagalbos teikimo kaštai, kuriuos turi sumokėti asmuo sudaro 32 Eur., tai asmuo juos visus ir turės apmokėti (1 komponentas leidžia dengti iki 40 Eur</w:t>
            </w:r>
            <w:r w:rsidR="00DF4B71">
              <w:rPr>
                <w:b/>
                <w:bCs/>
              </w:rPr>
              <w:t>. per mėn.)</w:t>
            </w:r>
          </w:p>
        </w:tc>
      </w:tr>
      <w:tr w:rsidR="00DF4B71" w14:paraId="67C8E0DB" w14:textId="77777777" w:rsidTr="00DF4B71">
        <w:tc>
          <w:tcPr>
            <w:tcW w:w="387" w:type="dxa"/>
          </w:tcPr>
          <w:p w14:paraId="40881BC7" w14:textId="7A7CDA4F" w:rsidR="00DF4B71" w:rsidRDefault="00DF4B71" w:rsidP="00DF4B71">
            <w:pPr>
              <w:jc w:val="both"/>
              <w:rPr>
                <w:b/>
                <w:bCs/>
              </w:rPr>
            </w:pPr>
            <w:r>
              <w:rPr>
                <w:b/>
                <w:bCs/>
              </w:rPr>
              <w:t xml:space="preserve">3. </w:t>
            </w:r>
          </w:p>
        </w:tc>
        <w:tc>
          <w:tcPr>
            <w:tcW w:w="9530" w:type="dxa"/>
          </w:tcPr>
          <w:p w14:paraId="7B5B9F2A" w14:textId="70A8E9A4" w:rsidR="00DF4B71" w:rsidRPr="00B0413F" w:rsidRDefault="00DF4B71" w:rsidP="00DF4B71">
            <w:pPr>
              <w:jc w:val="both"/>
              <w:rPr>
                <w:b/>
                <w:bCs/>
                <w:u w:val="single"/>
              </w:rPr>
            </w:pPr>
            <w:r w:rsidRPr="00B0413F">
              <w:rPr>
                <w:b/>
                <w:bCs/>
              </w:rPr>
              <w:t>(1 komponentas)</w:t>
            </w:r>
            <w:r>
              <w:t xml:space="preserve"> </w:t>
            </w:r>
            <w:r w:rsidRPr="0079502B">
              <w:t xml:space="preserve">Asmens pajamos </w:t>
            </w:r>
            <w:r>
              <w:t>600</w:t>
            </w:r>
            <w:r w:rsidRPr="0079502B">
              <w:t xml:space="preserve"> Eur.(tai sudaro – </w:t>
            </w:r>
            <w:r>
              <w:t>4,6875</w:t>
            </w:r>
            <w:r w:rsidRPr="0079502B">
              <w:rPr>
                <w:b/>
                <w:bCs/>
              </w:rPr>
              <w:t xml:space="preserve"> VRP</w:t>
            </w:r>
            <w:r w:rsidRPr="0079502B">
              <w:t>). Asm</w:t>
            </w:r>
            <w:r>
              <w:t xml:space="preserve">ens mokėjimas </w:t>
            </w:r>
            <w:r w:rsidRPr="0079502B">
              <w:t xml:space="preserve">už asmeninę pagalbą </w:t>
            </w:r>
            <w:r w:rsidRPr="00B0413F">
              <w:rPr>
                <w:b/>
                <w:bCs/>
              </w:rPr>
              <w:t>ne</w:t>
            </w:r>
            <w:r w:rsidRPr="0079502B">
              <w:rPr>
                <w:b/>
                <w:bCs/>
              </w:rPr>
              <w:t xml:space="preserve">turės </w:t>
            </w:r>
            <w:r>
              <w:rPr>
                <w:b/>
                <w:bCs/>
              </w:rPr>
              <w:t>viršyti</w:t>
            </w:r>
            <w:r w:rsidRPr="0079502B">
              <w:rPr>
                <w:b/>
                <w:bCs/>
              </w:rPr>
              <w:t xml:space="preserve"> </w:t>
            </w:r>
            <w:r>
              <w:rPr>
                <w:b/>
                <w:bCs/>
              </w:rPr>
              <w:t>15</w:t>
            </w:r>
            <w:r w:rsidRPr="0079502B">
              <w:rPr>
                <w:b/>
                <w:bCs/>
              </w:rPr>
              <w:t xml:space="preserve"> proc. asmens pajamų. Tai reiškia, kad maksimali suma, kurią galės mokėti asmuo </w:t>
            </w:r>
            <w:r w:rsidRPr="00B0413F">
              <w:rPr>
                <w:b/>
                <w:bCs/>
                <w:u w:val="single"/>
              </w:rPr>
              <w:t xml:space="preserve">per mėn. yra </w:t>
            </w:r>
            <w:r>
              <w:rPr>
                <w:b/>
                <w:bCs/>
                <w:u w:val="single"/>
              </w:rPr>
              <w:t>90</w:t>
            </w:r>
            <w:r w:rsidRPr="00B0413F">
              <w:rPr>
                <w:b/>
                <w:bCs/>
                <w:u w:val="single"/>
              </w:rPr>
              <w:t xml:space="preserve"> Eur.</w:t>
            </w:r>
          </w:p>
          <w:p w14:paraId="04F60B0E" w14:textId="77777777" w:rsidR="00DF4B71" w:rsidRDefault="00DF4B71" w:rsidP="00DF4B71">
            <w:pPr>
              <w:jc w:val="both"/>
            </w:pPr>
          </w:p>
          <w:p w14:paraId="6E12CC75" w14:textId="10973063" w:rsidR="00DF4B71" w:rsidRDefault="00DF4B71" w:rsidP="00DF4B71">
            <w:pPr>
              <w:jc w:val="both"/>
            </w:pPr>
            <w:r w:rsidRPr="00B0413F">
              <w:rPr>
                <w:b/>
                <w:bCs/>
              </w:rPr>
              <w:t>(2 komponentas)</w:t>
            </w:r>
            <w:r>
              <w:t xml:space="preserve"> </w:t>
            </w:r>
            <w:r w:rsidRPr="0079502B">
              <w:t>Asmeninės pagalbos valandinis įkainis – 8 Eur.</w:t>
            </w:r>
            <w:r>
              <w:t xml:space="preserve"> </w:t>
            </w:r>
            <w:r w:rsidRPr="0079502B">
              <w:t xml:space="preserve">Asmeniui nustatytas </w:t>
            </w:r>
            <w:r>
              <w:t>120</w:t>
            </w:r>
            <w:r w:rsidRPr="0079502B">
              <w:t xml:space="preserve"> </w:t>
            </w:r>
            <w:proofErr w:type="spellStart"/>
            <w:r w:rsidRPr="0079502B">
              <w:t>val</w:t>
            </w:r>
            <w:proofErr w:type="spellEnd"/>
            <w:r w:rsidRPr="0079502B">
              <w:t>/ mėn.</w:t>
            </w:r>
            <w:r>
              <w:t xml:space="preserve"> </w:t>
            </w:r>
          </w:p>
          <w:p w14:paraId="623AA36E" w14:textId="183D1A02" w:rsidR="00DF4B71" w:rsidRPr="00B0413F" w:rsidRDefault="00DF4B71" w:rsidP="00DF4B71">
            <w:pPr>
              <w:jc w:val="both"/>
              <w:rPr>
                <w:b/>
                <w:bCs/>
              </w:rPr>
            </w:pPr>
            <w:r>
              <w:t xml:space="preserve">Tai viso asmeninės pagalbos </w:t>
            </w:r>
            <w:r w:rsidRPr="00B0413F">
              <w:rPr>
                <w:b/>
                <w:bCs/>
              </w:rPr>
              <w:t xml:space="preserve">teikimo kaštai per mėn. </w:t>
            </w:r>
            <w:r>
              <w:rPr>
                <w:b/>
                <w:bCs/>
              </w:rPr>
              <w:t>960</w:t>
            </w:r>
            <w:r w:rsidRPr="00B0413F">
              <w:rPr>
                <w:b/>
                <w:bCs/>
              </w:rPr>
              <w:t xml:space="preserve"> Eur.</w:t>
            </w:r>
          </w:p>
          <w:p w14:paraId="7E9CA7C5" w14:textId="77777777" w:rsidR="00DF4B71" w:rsidRDefault="00DF4B71" w:rsidP="00DF4B71">
            <w:pPr>
              <w:jc w:val="both"/>
            </w:pPr>
            <w:r>
              <w:t xml:space="preserve">Dabar paskaičiuojam, kiek tai sudaro 20 proc. </w:t>
            </w:r>
          </w:p>
          <w:p w14:paraId="5ADD3796" w14:textId="46EEA529" w:rsidR="00DF4B71" w:rsidRDefault="00DF4B71" w:rsidP="00DF4B71">
            <w:pPr>
              <w:jc w:val="both"/>
              <w:rPr>
                <w:b/>
                <w:bCs/>
                <w:u w:val="single"/>
              </w:rPr>
            </w:pPr>
            <w:r w:rsidRPr="00B0413F">
              <w:rPr>
                <w:b/>
                <w:bCs/>
                <w:u w:val="single"/>
              </w:rPr>
              <w:t xml:space="preserve">20 proc. asmeninės pagalbos teikimo išlaidų sudaro </w:t>
            </w:r>
            <w:r>
              <w:rPr>
                <w:b/>
                <w:bCs/>
                <w:u w:val="single"/>
              </w:rPr>
              <w:t>192</w:t>
            </w:r>
            <w:r w:rsidRPr="00B0413F">
              <w:rPr>
                <w:b/>
                <w:bCs/>
                <w:u w:val="single"/>
              </w:rPr>
              <w:t xml:space="preserve"> Eur.</w:t>
            </w:r>
          </w:p>
          <w:p w14:paraId="7CDA8FBB" w14:textId="4332255C" w:rsidR="00DF4B71" w:rsidRDefault="00DF4B71" w:rsidP="00DF4B71">
            <w:pPr>
              <w:jc w:val="both"/>
              <w:rPr>
                <w:b/>
                <w:bCs/>
              </w:rPr>
            </w:pPr>
            <w:r>
              <w:rPr>
                <w:b/>
                <w:bCs/>
              </w:rPr>
              <w:t>Nors asmeninės pagalbos teikimo kaštai, kuriuos turi sumokėti asmuo sudaro 192 Eur., bet asmuo mokės tik 90 Eur., nes 1 komponentas rodo, kad maksimali suma, kurią gali dengti asmuo yra 90 Eur.</w:t>
            </w:r>
          </w:p>
        </w:tc>
      </w:tr>
      <w:tr w:rsidR="00DF4B71" w14:paraId="1D47597B" w14:textId="77777777" w:rsidTr="00DF4B71">
        <w:tc>
          <w:tcPr>
            <w:tcW w:w="387" w:type="dxa"/>
          </w:tcPr>
          <w:p w14:paraId="1931ACAF" w14:textId="4C9769A3" w:rsidR="00DF4B71" w:rsidRDefault="00DF4B71" w:rsidP="00DF4B71">
            <w:pPr>
              <w:jc w:val="both"/>
              <w:rPr>
                <w:b/>
                <w:bCs/>
              </w:rPr>
            </w:pPr>
            <w:r>
              <w:rPr>
                <w:b/>
                <w:bCs/>
              </w:rPr>
              <w:t>4.</w:t>
            </w:r>
          </w:p>
        </w:tc>
        <w:tc>
          <w:tcPr>
            <w:tcW w:w="9530" w:type="dxa"/>
          </w:tcPr>
          <w:p w14:paraId="38D7DE97" w14:textId="77777777" w:rsidR="00DF4B71" w:rsidRPr="00B0413F" w:rsidRDefault="00DF4B71" w:rsidP="00DF4B71">
            <w:pPr>
              <w:jc w:val="both"/>
              <w:rPr>
                <w:b/>
                <w:bCs/>
                <w:u w:val="single"/>
              </w:rPr>
            </w:pPr>
            <w:r w:rsidRPr="00B0413F">
              <w:rPr>
                <w:b/>
                <w:bCs/>
              </w:rPr>
              <w:t>(1 komponentas)</w:t>
            </w:r>
            <w:r>
              <w:t xml:space="preserve"> </w:t>
            </w:r>
            <w:r w:rsidRPr="0079502B">
              <w:t xml:space="preserve">Asmens pajamos </w:t>
            </w:r>
            <w:r>
              <w:t>600</w:t>
            </w:r>
            <w:r w:rsidRPr="0079502B">
              <w:t xml:space="preserve"> Eur.(tai sudaro – </w:t>
            </w:r>
            <w:r>
              <w:t>4,6875</w:t>
            </w:r>
            <w:r w:rsidRPr="0079502B">
              <w:rPr>
                <w:b/>
                <w:bCs/>
              </w:rPr>
              <w:t xml:space="preserve"> VRP</w:t>
            </w:r>
            <w:r w:rsidRPr="0079502B">
              <w:t>). Asm</w:t>
            </w:r>
            <w:r>
              <w:t xml:space="preserve">ens mokėjimas </w:t>
            </w:r>
            <w:r w:rsidRPr="0079502B">
              <w:t xml:space="preserve">už asmeninę pagalbą </w:t>
            </w:r>
            <w:r w:rsidRPr="00B0413F">
              <w:rPr>
                <w:b/>
                <w:bCs/>
              </w:rPr>
              <w:t>ne</w:t>
            </w:r>
            <w:r w:rsidRPr="0079502B">
              <w:rPr>
                <w:b/>
                <w:bCs/>
              </w:rPr>
              <w:t xml:space="preserve">turės </w:t>
            </w:r>
            <w:r>
              <w:rPr>
                <w:b/>
                <w:bCs/>
              </w:rPr>
              <w:t>viršyti</w:t>
            </w:r>
            <w:r w:rsidRPr="0079502B">
              <w:rPr>
                <w:b/>
                <w:bCs/>
              </w:rPr>
              <w:t xml:space="preserve"> </w:t>
            </w:r>
            <w:r>
              <w:rPr>
                <w:b/>
                <w:bCs/>
              </w:rPr>
              <w:t>15</w:t>
            </w:r>
            <w:r w:rsidRPr="0079502B">
              <w:rPr>
                <w:b/>
                <w:bCs/>
              </w:rPr>
              <w:t xml:space="preserve"> proc. asmens pajamų. Tai reiškia, kad maksimali suma, kurią galės mokėti asmuo </w:t>
            </w:r>
            <w:r w:rsidRPr="00B0413F">
              <w:rPr>
                <w:b/>
                <w:bCs/>
                <w:u w:val="single"/>
              </w:rPr>
              <w:t xml:space="preserve">per mėn. yra </w:t>
            </w:r>
            <w:r>
              <w:rPr>
                <w:b/>
                <w:bCs/>
                <w:u w:val="single"/>
              </w:rPr>
              <w:t>90</w:t>
            </w:r>
            <w:r w:rsidRPr="00B0413F">
              <w:rPr>
                <w:b/>
                <w:bCs/>
                <w:u w:val="single"/>
              </w:rPr>
              <w:t xml:space="preserve"> Eur.</w:t>
            </w:r>
          </w:p>
          <w:p w14:paraId="4C831AED" w14:textId="77777777" w:rsidR="00DF4B71" w:rsidRDefault="00DF4B71" w:rsidP="00DF4B71">
            <w:pPr>
              <w:jc w:val="both"/>
            </w:pPr>
          </w:p>
          <w:p w14:paraId="5CACC84B" w14:textId="2B37113D" w:rsidR="00DF4B71" w:rsidRDefault="00DF4B71" w:rsidP="00DF4B71">
            <w:pPr>
              <w:jc w:val="both"/>
            </w:pPr>
            <w:r w:rsidRPr="00B0413F">
              <w:rPr>
                <w:b/>
                <w:bCs/>
              </w:rPr>
              <w:t>(2 komponentas)</w:t>
            </w:r>
            <w:r>
              <w:t xml:space="preserve"> </w:t>
            </w:r>
            <w:r w:rsidRPr="0079502B">
              <w:t>Asmeninės pagalbos valandinis įkainis – 8 Eur.</w:t>
            </w:r>
            <w:r>
              <w:t xml:space="preserve"> </w:t>
            </w:r>
            <w:r w:rsidRPr="0079502B">
              <w:t xml:space="preserve">Asmeniui nustatytas </w:t>
            </w:r>
            <w:r>
              <w:t>40</w:t>
            </w:r>
            <w:r w:rsidRPr="0079502B">
              <w:t xml:space="preserve"> </w:t>
            </w:r>
            <w:proofErr w:type="spellStart"/>
            <w:r w:rsidRPr="0079502B">
              <w:t>val</w:t>
            </w:r>
            <w:proofErr w:type="spellEnd"/>
            <w:r w:rsidRPr="0079502B">
              <w:t>/ mėn.</w:t>
            </w:r>
            <w:r>
              <w:t xml:space="preserve"> </w:t>
            </w:r>
          </w:p>
          <w:p w14:paraId="6B8CC90C" w14:textId="3B47BF78" w:rsidR="00DF4B71" w:rsidRPr="00B0413F" w:rsidRDefault="00DF4B71" w:rsidP="00DF4B71">
            <w:pPr>
              <w:jc w:val="both"/>
              <w:rPr>
                <w:b/>
                <w:bCs/>
              </w:rPr>
            </w:pPr>
            <w:r>
              <w:t xml:space="preserve">Tai viso asmeninės pagalbos </w:t>
            </w:r>
            <w:r w:rsidRPr="00B0413F">
              <w:rPr>
                <w:b/>
                <w:bCs/>
              </w:rPr>
              <w:t xml:space="preserve">teikimo kaštai per mėn. </w:t>
            </w:r>
            <w:r>
              <w:rPr>
                <w:b/>
                <w:bCs/>
              </w:rPr>
              <w:t>320</w:t>
            </w:r>
            <w:r w:rsidRPr="00B0413F">
              <w:rPr>
                <w:b/>
                <w:bCs/>
              </w:rPr>
              <w:t xml:space="preserve"> Eur.</w:t>
            </w:r>
          </w:p>
          <w:p w14:paraId="1309CF77" w14:textId="77777777" w:rsidR="00DF4B71" w:rsidRDefault="00DF4B71" w:rsidP="00DF4B71">
            <w:pPr>
              <w:jc w:val="both"/>
            </w:pPr>
            <w:r>
              <w:t xml:space="preserve">Dabar paskaičiuojam, kiek tai sudaro 20 proc. </w:t>
            </w:r>
          </w:p>
          <w:p w14:paraId="7A68D6AD" w14:textId="0C03881A" w:rsidR="00DF4B71" w:rsidRDefault="00DF4B71" w:rsidP="00DF4B71">
            <w:pPr>
              <w:jc w:val="both"/>
              <w:rPr>
                <w:b/>
                <w:bCs/>
                <w:u w:val="single"/>
              </w:rPr>
            </w:pPr>
            <w:r w:rsidRPr="00B0413F">
              <w:rPr>
                <w:b/>
                <w:bCs/>
                <w:u w:val="single"/>
              </w:rPr>
              <w:t xml:space="preserve">20 proc. asmeninės pagalbos teikimo išlaidų sudaro </w:t>
            </w:r>
            <w:r>
              <w:rPr>
                <w:b/>
                <w:bCs/>
                <w:u w:val="single"/>
              </w:rPr>
              <w:t>64</w:t>
            </w:r>
            <w:r w:rsidRPr="00B0413F">
              <w:rPr>
                <w:b/>
                <w:bCs/>
                <w:u w:val="single"/>
              </w:rPr>
              <w:t xml:space="preserve"> Eur.</w:t>
            </w:r>
          </w:p>
          <w:p w14:paraId="3190DBA7" w14:textId="0AABA136" w:rsidR="00DF4B71" w:rsidRDefault="00DF4B71" w:rsidP="00DF4B71">
            <w:pPr>
              <w:jc w:val="both"/>
              <w:rPr>
                <w:b/>
                <w:bCs/>
              </w:rPr>
            </w:pPr>
            <w:r>
              <w:rPr>
                <w:b/>
                <w:bCs/>
              </w:rPr>
              <w:t xml:space="preserve">Asmeninės pagalbos teikimo kaštai, kuriuos turi sumokėti asmuo sudaro 64Eur., </w:t>
            </w:r>
            <w:r w:rsidRPr="00DF4B71">
              <w:rPr>
                <w:b/>
                <w:bCs/>
              </w:rPr>
              <w:t xml:space="preserve">tai asmuo juos visus ir turės apmokėti (1 komponentas leidžia dengti iki </w:t>
            </w:r>
            <w:r>
              <w:rPr>
                <w:b/>
                <w:bCs/>
              </w:rPr>
              <w:t>90</w:t>
            </w:r>
            <w:r w:rsidRPr="00DF4B71">
              <w:rPr>
                <w:b/>
                <w:bCs/>
              </w:rPr>
              <w:t xml:space="preserve"> Eur. per mėn.)</w:t>
            </w:r>
          </w:p>
        </w:tc>
      </w:tr>
    </w:tbl>
    <w:p w14:paraId="3DE123FF" w14:textId="0F72A724" w:rsidR="00256297" w:rsidRDefault="00256297" w:rsidP="00256297">
      <w:pPr>
        <w:jc w:val="both"/>
        <w:rPr>
          <w:b/>
          <w:bCs/>
        </w:rPr>
      </w:pPr>
    </w:p>
    <w:p w14:paraId="3C82BD69" w14:textId="438F69DA" w:rsidR="00DF4B71" w:rsidRPr="00DF4B71" w:rsidRDefault="00DF4B71" w:rsidP="00DF4B71">
      <w:pPr>
        <w:ind w:left="-850" w:hanging="1"/>
        <w:jc w:val="both"/>
      </w:pPr>
      <w:r>
        <w:rPr>
          <w:b/>
          <w:bCs/>
        </w:rPr>
        <w:t xml:space="preserve">Svarbu. </w:t>
      </w:r>
      <w:r w:rsidRPr="00DF4B71">
        <w:t xml:space="preserve">Jei savivaldybėje yra daugiau nei vienas asmeninės pagalbos teikėjas, asmeninės pagalbos valandinis įkainis savivaldybėje turi būti vieno dydžio, t. y. negali būti, kad vieno asmeninės pagalbos teikėjo valandinis įkainis yra 8 </w:t>
      </w:r>
      <w:proofErr w:type="spellStart"/>
      <w:r w:rsidRPr="00DF4B71">
        <w:t>eur</w:t>
      </w:r>
      <w:proofErr w:type="spellEnd"/>
      <w:r w:rsidRPr="00DF4B71">
        <w:t>., o kito (toje pačioje savivaldybėje) – 7 Eur.</w:t>
      </w:r>
    </w:p>
    <w:p w14:paraId="6FDCB56C" w14:textId="4509D27C" w:rsidR="00DF4B71" w:rsidRDefault="00DF4B71" w:rsidP="00DF4B71">
      <w:pPr>
        <w:ind w:hanging="851"/>
        <w:jc w:val="both"/>
      </w:pPr>
    </w:p>
    <w:p w14:paraId="35CAE416" w14:textId="77777777" w:rsidR="00200448" w:rsidRDefault="00200448" w:rsidP="00DF4B71">
      <w:pPr>
        <w:ind w:hanging="851"/>
        <w:jc w:val="both"/>
        <w:rPr>
          <w:b/>
          <w:bCs/>
        </w:rPr>
      </w:pPr>
    </w:p>
    <w:p w14:paraId="768864CD" w14:textId="77777777" w:rsidR="00200448" w:rsidRDefault="00200448" w:rsidP="00DF4B71">
      <w:pPr>
        <w:ind w:hanging="851"/>
        <w:jc w:val="both"/>
        <w:rPr>
          <w:b/>
          <w:bCs/>
        </w:rPr>
      </w:pPr>
    </w:p>
    <w:p w14:paraId="24DCC09B" w14:textId="439CEEF7" w:rsidR="00DF4B71" w:rsidRDefault="00DF4B71" w:rsidP="00DF4B71">
      <w:pPr>
        <w:ind w:hanging="851"/>
        <w:jc w:val="both"/>
        <w:rPr>
          <w:b/>
          <w:bCs/>
        </w:rPr>
      </w:pPr>
      <w:r w:rsidRPr="00E329CC">
        <w:rPr>
          <w:b/>
          <w:bCs/>
        </w:rPr>
        <w:t>Dažniausios klaidos skaičiuojant asmens mokėjimo už asmeninę pagalbą dalį.</w:t>
      </w:r>
    </w:p>
    <w:p w14:paraId="4EC79BA2" w14:textId="106FBA87" w:rsidR="00E329CC" w:rsidRDefault="00E329CC" w:rsidP="00E329CC">
      <w:pPr>
        <w:pStyle w:val="Sraopastraipa"/>
        <w:numPr>
          <w:ilvl w:val="0"/>
          <w:numId w:val="1"/>
        </w:numPr>
        <w:jc w:val="both"/>
        <w:rPr>
          <w:b/>
          <w:bCs/>
        </w:rPr>
      </w:pPr>
      <w:r>
        <w:rPr>
          <w:b/>
          <w:bCs/>
        </w:rPr>
        <w:t>Įvertina asmens pajamas, nustato kokį procentą asmuo turi mokėti</w:t>
      </w:r>
      <w:r w:rsidR="00211EDD">
        <w:rPr>
          <w:b/>
          <w:bCs/>
        </w:rPr>
        <w:t xml:space="preserve"> ir tokį patį procentą skaičiuoja asmens dengiamų asmeninės pagalbos teikimo kaštų </w:t>
      </w:r>
    </w:p>
    <w:p w14:paraId="20D4F820" w14:textId="77777777" w:rsidR="00211EDD" w:rsidRPr="00211EDD" w:rsidRDefault="00211EDD" w:rsidP="00211EDD">
      <w:pPr>
        <w:pStyle w:val="Sraopastraipa"/>
        <w:ind w:left="-491"/>
        <w:jc w:val="both"/>
      </w:pPr>
      <w:r w:rsidRPr="00211EDD">
        <w:t>Pvz., asmens pajamos 600 Eur., asmeninės pagalbos teikimo kaštai 700 Eur.</w:t>
      </w:r>
    </w:p>
    <w:p w14:paraId="29537C53" w14:textId="71ADAA66" w:rsidR="00211EDD" w:rsidRPr="00211EDD" w:rsidRDefault="00211EDD" w:rsidP="00211EDD">
      <w:pPr>
        <w:pStyle w:val="Sraopastraipa"/>
        <w:ind w:left="-491"/>
        <w:jc w:val="both"/>
      </w:pPr>
      <w:r w:rsidRPr="00211EDD">
        <w:t>(1 komponentas) - asmuo už asmeninę pagalbą gali mokėti iki 15 proc. savo pajamų, maksimali mokėtina suma 90 Eur.</w:t>
      </w:r>
    </w:p>
    <w:p w14:paraId="4D67D4A0" w14:textId="76E0A545" w:rsidR="00211EDD" w:rsidRDefault="00211EDD" w:rsidP="00211EDD">
      <w:pPr>
        <w:pStyle w:val="Sraopastraipa"/>
        <w:ind w:left="-491"/>
        <w:jc w:val="both"/>
      </w:pPr>
      <w:r w:rsidRPr="00211EDD">
        <w:t>(2 komponentas) – skaičiuoja nuo 700 Eur.</w:t>
      </w:r>
      <w:r w:rsidR="00200448">
        <w:t xml:space="preserve"> </w:t>
      </w:r>
      <w:r w:rsidRPr="00211EDD">
        <w:t>ne 20 proc., bet 15 proc.</w:t>
      </w:r>
      <w:r>
        <w:t xml:space="preserve"> – ir nustato, kad asmuo turi mokėti 105 Eur.</w:t>
      </w:r>
      <w:r w:rsidR="00200448">
        <w:t xml:space="preserve"> </w:t>
      </w:r>
    </w:p>
    <w:p w14:paraId="7239FADD" w14:textId="5044EFCB" w:rsidR="00200448" w:rsidRDefault="00200448" w:rsidP="00200448">
      <w:pPr>
        <w:pStyle w:val="Sraopastraipa"/>
        <w:ind w:left="-491"/>
        <w:jc w:val="both"/>
        <w:rPr>
          <w:b/>
          <w:bCs/>
        </w:rPr>
      </w:pPr>
      <w:r w:rsidRPr="00200448">
        <w:rPr>
          <w:b/>
          <w:bCs/>
        </w:rPr>
        <w:t>Tuomet skaičiuoja ar paskaičiuoti 105 Eur. viršija asmens 15 proc. pajamų.</w:t>
      </w:r>
    </w:p>
    <w:p w14:paraId="7FB025FE" w14:textId="6AA7BE22" w:rsidR="00200448" w:rsidRDefault="00200448" w:rsidP="00200448">
      <w:pPr>
        <w:pStyle w:val="Sraopastraipa"/>
        <w:ind w:left="-491"/>
        <w:jc w:val="both"/>
        <w:rPr>
          <w:b/>
          <w:bCs/>
        </w:rPr>
      </w:pPr>
    </w:p>
    <w:p w14:paraId="403613FD" w14:textId="765DBE66" w:rsidR="00200448" w:rsidRDefault="00200448" w:rsidP="00200448">
      <w:pPr>
        <w:pStyle w:val="Sraopastraipa"/>
        <w:numPr>
          <w:ilvl w:val="0"/>
          <w:numId w:val="1"/>
        </w:numPr>
        <w:jc w:val="both"/>
        <w:rPr>
          <w:b/>
          <w:bCs/>
        </w:rPr>
      </w:pPr>
      <w:r>
        <w:rPr>
          <w:b/>
          <w:bCs/>
        </w:rPr>
        <w:t>Įvertina asmens pajamas, nustato, kokį procentą asmuo turi mokėti ir nepriklausomai, kiek asmuo gauna valandų pagalbos moka nustatytus procentus.</w:t>
      </w:r>
    </w:p>
    <w:p w14:paraId="055E39E8" w14:textId="6B0FED2C" w:rsidR="00200448" w:rsidRPr="00200448" w:rsidRDefault="00200448" w:rsidP="00200448">
      <w:pPr>
        <w:pStyle w:val="Sraopastraipa"/>
        <w:ind w:left="-491"/>
        <w:jc w:val="both"/>
      </w:pPr>
      <w:r w:rsidRPr="00200448">
        <w:t>Pvz., asmens pajamos 600 Eur., asmeninės pagalbos teikimo kaštai 300 Eur.</w:t>
      </w:r>
    </w:p>
    <w:p w14:paraId="5D0AB47B" w14:textId="7CA8A216" w:rsidR="00200448" w:rsidRPr="00200448" w:rsidRDefault="00200448" w:rsidP="00200448">
      <w:pPr>
        <w:pStyle w:val="Sraopastraipa"/>
        <w:ind w:left="-491"/>
        <w:jc w:val="both"/>
      </w:pPr>
      <w:r w:rsidRPr="00200448">
        <w:t>(1 komponentas) - asmuo už asmeninę pagalbą gali mokėti iki 15 proc. savo pajamų (1 komponentas), maksimali mokėtina suma 90 Eur.</w:t>
      </w:r>
    </w:p>
    <w:p w14:paraId="6C5F0DEA" w14:textId="604C7EE9" w:rsidR="00200448" w:rsidRPr="00200448" w:rsidRDefault="00200448" w:rsidP="00200448">
      <w:pPr>
        <w:pStyle w:val="Sraopastraipa"/>
        <w:ind w:left="-491"/>
        <w:jc w:val="both"/>
      </w:pPr>
      <w:r w:rsidRPr="00200448">
        <w:t>(2 komponentas) – paskaičiuojam 20 proc. asmeninės pagalbos teikimo kaštus nuo 300 Eur. – jie sudaro 60 Eur. Tai reiškia, kad asmuo juos ir turi padengti, o ne 90 Eur. kas yra paskaičiuota kaip maksimali suma, kurią asmuo gali dengti.</w:t>
      </w:r>
    </w:p>
    <w:sectPr w:rsidR="00200448" w:rsidRPr="00200448" w:rsidSect="00DA0DD8">
      <w:pgSz w:w="11906" w:h="16838" w:code="9"/>
      <w:pgMar w:top="1393" w:right="1134"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E6DAD"/>
    <w:multiLevelType w:val="hybridMultilevel"/>
    <w:tmpl w:val="4A88A5FA"/>
    <w:lvl w:ilvl="0" w:tplc="C7EEA9C4">
      <w:start w:val="1"/>
      <w:numFmt w:val="decimal"/>
      <w:lvlText w:val="%1."/>
      <w:lvlJc w:val="left"/>
      <w:pPr>
        <w:ind w:left="-491" w:hanging="360"/>
      </w:pPr>
      <w:rPr>
        <w:rFonts w:hint="default"/>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B1"/>
    <w:rsid w:val="00200448"/>
    <w:rsid w:val="00211EDD"/>
    <w:rsid w:val="00256297"/>
    <w:rsid w:val="00630AC6"/>
    <w:rsid w:val="0079502B"/>
    <w:rsid w:val="00B0413F"/>
    <w:rsid w:val="00CB27B2"/>
    <w:rsid w:val="00DA0DD8"/>
    <w:rsid w:val="00DF4B71"/>
    <w:rsid w:val="00E05CB1"/>
    <w:rsid w:val="00E329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C5B8"/>
  <w15:chartTrackingRefBased/>
  <w15:docId w15:val="{F3407448-6B9F-4883-B2B3-E4F5000F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413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0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25629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E32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0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4449</Words>
  <Characters>2536</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Čiuladaitė-Pritulskienė</dc:creator>
  <cp:keywords/>
  <dc:description/>
  <cp:lastModifiedBy>Daiva Zabarauskienė</cp:lastModifiedBy>
  <cp:revision>2</cp:revision>
  <dcterms:created xsi:type="dcterms:W3CDTF">2021-08-23T05:56:00Z</dcterms:created>
  <dcterms:modified xsi:type="dcterms:W3CDTF">2021-08-23T05:56:00Z</dcterms:modified>
</cp:coreProperties>
</file>